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27" w:type="pct"/>
        <w:tblLook w:val="04A0" w:firstRow="1" w:lastRow="0" w:firstColumn="1" w:lastColumn="0" w:noHBand="0" w:noVBand="1"/>
      </w:tblPr>
      <w:tblGrid>
        <w:gridCol w:w="2405"/>
        <w:gridCol w:w="2694"/>
        <w:gridCol w:w="2694"/>
        <w:gridCol w:w="2551"/>
        <w:gridCol w:w="3400"/>
      </w:tblGrid>
      <w:tr w:rsidR="00E71059" w:rsidRPr="004661BB" w:rsidTr="00D20F15">
        <w:trPr>
          <w:trHeight w:val="1125"/>
        </w:trPr>
        <w:tc>
          <w:tcPr>
            <w:tcW w:w="875" w:type="pct"/>
            <w:vAlign w:val="center"/>
          </w:tcPr>
          <w:p w:rsidR="00E71059" w:rsidRPr="004661BB" w:rsidRDefault="00E71059" w:rsidP="00E71059">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ACTION</w:t>
            </w:r>
          </w:p>
        </w:tc>
        <w:tc>
          <w:tcPr>
            <w:tcW w:w="980" w:type="pct"/>
          </w:tcPr>
          <w:p w:rsidR="009471E9" w:rsidRPr="004661BB" w:rsidRDefault="009471E9" w:rsidP="009471E9">
            <w:pPr>
              <w:autoSpaceDE w:val="0"/>
              <w:autoSpaceDN w:val="0"/>
              <w:adjustRightInd w:val="0"/>
              <w:spacing w:after="120"/>
              <w:contextualSpacing/>
              <w:rPr>
                <w:rFonts w:eastAsia="Calibri" w:cs="Arial"/>
                <w:b/>
                <w:color w:val="000000"/>
                <w:sz w:val="22"/>
                <w:szCs w:val="22"/>
              </w:rPr>
            </w:pPr>
          </w:p>
          <w:p w:rsidR="00E71059" w:rsidRPr="004661BB" w:rsidRDefault="00E71059" w:rsidP="00E71059">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980" w:type="pct"/>
            <w:vAlign w:val="center"/>
          </w:tcPr>
          <w:p w:rsidR="00E71059" w:rsidRPr="004661BB" w:rsidRDefault="00E71059" w:rsidP="00E71059">
            <w:pPr>
              <w:autoSpaceDE w:val="0"/>
              <w:autoSpaceDN w:val="0"/>
              <w:adjustRightInd w:val="0"/>
              <w:spacing w:after="120"/>
              <w:ind w:left="360"/>
              <w:contextualSpacing/>
              <w:jc w:val="center"/>
              <w:rPr>
                <w:rFonts w:eastAsia="Calibri" w:cs="Arial"/>
                <w:b/>
                <w:color w:val="000000"/>
                <w:sz w:val="22"/>
                <w:szCs w:val="22"/>
              </w:rPr>
            </w:pPr>
            <w:r w:rsidRPr="004661BB">
              <w:rPr>
                <w:rFonts w:eastAsia="Calibri" w:cs="Arial"/>
                <w:b/>
                <w:color w:val="000000"/>
                <w:sz w:val="22"/>
                <w:szCs w:val="22"/>
              </w:rPr>
              <w:t>HOW WILL SUCCESS BE MEASURED?</w:t>
            </w:r>
          </w:p>
        </w:tc>
        <w:tc>
          <w:tcPr>
            <w:tcW w:w="928" w:type="pct"/>
            <w:vAlign w:val="center"/>
          </w:tcPr>
          <w:p w:rsidR="00E71059" w:rsidRPr="004661BB" w:rsidRDefault="00E71059" w:rsidP="00E71059">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TIMESCALE</w:t>
            </w:r>
          </w:p>
        </w:tc>
        <w:tc>
          <w:tcPr>
            <w:tcW w:w="1237" w:type="pct"/>
            <w:vAlign w:val="center"/>
          </w:tcPr>
          <w:p w:rsidR="00E71059" w:rsidRPr="004661BB" w:rsidRDefault="00E71059" w:rsidP="00E71059">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PROGRESS AT END SEPT 2015</w:t>
            </w:r>
          </w:p>
        </w:tc>
      </w:tr>
      <w:tr w:rsidR="00E71059" w:rsidRPr="004661BB" w:rsidTr="00D20F15">
        <w:trPr>
          <w:trHeight w:val="2528"/>
        </w:trPr>
        <w:tc>
          <w:tcPr>
            <w:tcW w:w="875" w:type="pct"/>
          </w:tcPr>
          <w:p w:rsidR="007A2747" w:rsidRPr="007A2747" w:rsidRDefault="007A2747" w:rsidP="00E71059">
            <w:pPr>
              <w:autoSpaceDE w:val="0"/>
              <w:autoSpaceDN w:val="0"/>
              <w:adjustRightInd w:val="0"/>
              <w:spacing w:after="120"/>
              <w:rPr>
                <w:rFonts w:eastAsia="Calibri" w:cs="Arial"/>
                <w:b/>
                <w:color w:val="000000"/>
                <w:sz w:val="22"/>
                <w:szCs w:val="22"/>
              </w:rPr>
            </w:pPr>
            <w:r>
              <w:rPr>
                <w:rFonts w:eastAsia="Calibri" w:cs="Arial"/>
                <w:b/>
                <w:color w:val="000000"/>
                <w:sz w:val="22"/>
                <w:szCs w:val="22"/>
              </w:rPr>
              <w:t>Governance</w:t>
            </w:r>
          </w:p>
          <w:p w:rsidR="00E71059" w:rsidRPr="004661BB" w:rsidRDefault="00E71059"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Implement the new governance requirements including creating and supporting the Local Pension Board</w:t>
            </w:r>
          </w:p>
          <w:p w:rsidR="00E71059" w:rsidRPr="004661BB" w:rsidRDefault="00E71059" w:rsidP="00422E4F">
            <w:pPr>
              <w:autoSpaceDE w:val="0"/>
              <w:autoSpaceDN w:val="0"/>
              <w:adjustRightInd w:val="0"/>
              <w:spacing w:after="120"/>
              <w:rPr>
                <w:rFonts w:eastAsia="Calibri" w:cs="Arial"/>
                <w:color w:val="000000"/>
                <w:sz w:val="22"/>
                <w:szCs w:val="22"/>
              </w:rPr>
            </w:pPr>
          </w:p>
        </w:tc>
        <w:tc>
          <w:tcPr>
            <w:tcW w:w="980" w:type="pct"/>
          </w:tcPr>
          <w:p w:rsidR="00E71059" w:rsidRPr="004661BB" w:rsidRDefault="00E71059"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Assessment of new legislation and regulatory requirements;</w:t>
            </w:r>
          </w:p>
          <w:p w:rsidR="00E71059" w:rsidRPr="004661BB" w:rsidRDefault="00E71059"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Creation of appropriate structures;</w:t>
            </w:r>
          </w:p>
          <w:p w:rsidR="00E71059" w:rsidRPr="004661BB" w:rsidRDefault="00E71059"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LPB members elected and Chair appointed;</w:t>
            </w:r>
          </w:p>
          <w:p w:rsidR="00E71059" w:rsidRPr="004661BB" w:rsidRDefault="00E71059"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LPB meetings to commence by 31 July 2015;</w:t>
            </w:r>
          </w:p>
          <w:p w:rsidR="00E71059" w:rsidRPr="004661BB" w:rsidRDefault="00E71059"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Comprehensive and ongoing training of PFC and LPB members</w:t>
            </w:r>
          </w:p>
        </w:tc>
        <w:tc>
          <w:tcPr>
            <w:tcW w:w="980" w:type="pct"/>
          </w:tcPr>
          <w:p w:rsidR="00E71059" w:rsidRPr="004661BB" w:rsidRDefault="00E71059"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Independent review of Fund governance;</w:t>
            </w:r>
          </w:p>
          <w:p w:rsidR="00E71059" w:rsidRPr="004661BB" w:rsidRDefault="00E71059"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LPB in place, undertaking relevant work plan;</w:t>
            </w:r>
          </w:p>
          <w:p w:rsidR="00E71059" w:rsidRPr="004661BB" w:rsidRDefault="00E71059"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Positive assessment of PFC skills, knowledge, and effectiveness.</w:t>
            </w:r>
          </w:p>
          <w:p w:rsidR="00E71059" w:rsidRPr="004661BB" w:rsidRDefault="00E71059" w:rsidP="00E71059">
            <w:pPr>
              <w:autoSpaceDE w:val="0"/>
              <w:autoSpaceDN w:val="0"/>
              <w:adjustRightInd w:val="0"/>
              <w:spacing w:after="120"/>
              <w:ind w:left="179"/>
              <w:contextualSpacing/>
              <w:rPr>
                <w:rFonts w:eastAsia="Calibri" w:cs="Arial"/>
                <w:color w:val="000000"/>
                <w:sz w:val="22"/>
                <w:szCs w:val="22"/>
              </w:rPr>
            </w:pPr>
          </w:p>
        </w:tc>
        <w:tc>
          <w:tcPr>
            <w:tcW w:w="928" w:type="pct"/>
          </w:tcPr>
          <w:p w:rsidR="00E71059" w:rsidRPr="004661BB" w:rsidRDefault="00E71059"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LPB in place by 1 April 2015</w:t>
            </w:r>
          </w:p>
          <w:p w:rsidR="00E71059" w:rsidRPr="004661BB" w:rsidRDefault="00E71059"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Governance review by 31 December 2015</w:t>
            </w:r>
          </w:p>
          <w:p w:rsidR="00E71059" w:rsidRPr="004661BB" w:rsidRDefault="00E71059"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Confirmation of new structures by 31 March 2016</w:t>
            </w:r>
          </w:p>
          <w:p w:rsidR="00E71059" w:rsidRPr="004661BB" w:rsidRDefault="00E71059"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Ongoing member training</w:t>
            </w:r>
          </w:p>
          <w:p w:rsidR="00E71059" w:rsidRPr="004661BB" w:rsidRDefault="00E71059" w:rsidP="00422E4F">
            <w:pPr>
              <w:autoSpaceDE w:val="0"/>
              <w:autoSpaceDN w:val="0"/>
              <w:adjustRightInd w:val="0"/>
              <w:spacing w:after="120"/>
              <w:rPr>
                <w:rFonts w:eastAsia="Calibri" w:cs="Arial"/>
                <w:color w:val="000000"/>
                <w:sz w:val="22"/>
                <w:szCs w:val="22"/>
              </w:rPr>
            </w:pPr>
          </w:p>
        </w:tc>
        <w:tc>
          <w:tcPr>
            <w:tcW w:w="1237" w:type="pct"/>
          </w:tcPr>
          <w:p w:rsidR="00E71059" w:rsidRPr="004661BB" w:rsidRDefault="00E71059"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Pension Board operational</w:t>
            </w:r>
          </w:p>
          <w:p w:rsidR="00E71059" w:rsidRPr="004661BB" w:rsidRDefault="00E71059"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Governance review commenced but report may be after December due to resource requirements of the LLPP partnership and the need for proposals to address the changed relationships brought about by LLPP</w:t>
            </w:r>
          </w:p>
          <w:p w:rsidR="00E71059" w:rsidRPr="004661BB" w:rsidRDefault="00E71059"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More structured approach to member training initiated.</w:t>
            </w:r>
          </w:p>
        </w:tc>
      </w:tr>
      <w:tr w:rsidR="00E71059" w:rsidRPr="004661BB" w:rsidTr="00D20F15">
        <w:trPr>
          <w:trHeight w:val="2528"/>
        </w:trPr>
        <w:tc>
          <w:tcPr>
            <w:tcW w:w="875"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Put in place an effective workforce planning and development approach to provide  increased capacity to be innovative and the  ability to support individuals to realise their potential</w:t>
            </w: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LCPF workforce development policy created;</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Skills audit and requirements assessed;</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Training needs assessment;</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Coaching and mentoring provision;</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Succession planning arrangements;</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On the job training and formal training where required.</w:t>
            </w: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Workforce development policy in place and communicated to all stakeholders.</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Integration with PDR requirements;</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TNA undertaken for each officer;</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Training plans in place with a variety of methods employed;</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Career ladder in place;</w:t>
            </w:r>
          </w:p>
          <w:p w:rsidR="00965320" w:rsidRDefault="00965320" w:rsidP="00E13239">
            <w:pPr>
              <w:autoSpaceDE w:val="0"/>
              <w:autoSpaceDN w:val="0"/>
              <w:adjustRightInd w:val="0"/>
              <w:spacing w:after="120"/>
              <w:ind w:left="179"/>
              <w:contextualSpacing/>
              <w:rPr>
                <w:rFonts w:eastAsia="Calibri" w:cs="Arial"/>
                <w:color w:val="000000"/>
                <w:sz w:val="22"/>
                <w:szCs w:val="22"/>
              </w:rPr>
            </w:pPr>
          </w:p>
          <w:p w:rsidR="00422E4F" w:rsidRPr="00965320" w:rsidRDefault="00965320" w:rsidP="00965320">
            <w:pPr>
              <w:tabs>
                <w:tab w:val="left" w:pos="1752"/>
              </w:tabs>
              <w:rPr>
                <w:rFonts w:eastAsia="Calibri" w:cs="Arial"/>
                <w:sz w:val="22"/>
                <w:szCs w:val="22"/>
              </w:rPr>
            </w:pPr>
            <w:r>
              <w:rPr>
                <w:rFonts w:eastAsia="Calibri" w:cs="Arial"/>
                <w:sz w:val="22"/>
                <w:szCs w:val="22"/>
              </w:rPr>
              <w:tab/>
            </w:r>
          </w:p>
        </w:tc>
        <w:tc>
          <w:tcPr>
            <w:tcW w:w="928"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Workforce policy and career ladder by 30 September 2015</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TNA and training plans by 31 March 2016</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Mentoring established and operating by 31 March 2016</w:t>
            </w:r>
          </w:p>
        </w:tc>
        <w:tc>
          <w:tcPr>
            <w:tcW w:w="1237" w:type="pct"/>
          </w:tcPr>
          <w:p w:rsidR="00422E4F" w:rsidRPr="004661BB" w:rsidRDefault="00EE7D61"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Limited progress on an overall strategic approach due to capacity constraints caused by LLPP work. However, on-going training and development is taking place as required.</w:t>
            </w:r>
          </w:p>
        </w:tc>
      </w:tr>
      <w:tr w:rsidR="004661BB" w:rsidRPr="004661BB" w:rsidTr="00D20F15">
        <w:trPr>
          <w:trHeight w:val="1125"/>
        </w:trPr>
        <w:tc>
          <w:tcPr>
            <w:tcW w:w="875" w:type="pct"/>
            <w:vAlign w:val="center"/>
          </w:tcPr>
          <w:p w:rsidR="004661BB" w:rsidRPr="004661BB" w:rsidRDefault="004661BB"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lastRenderedPageBreak/>
              <w:t>ACTION</w:t>
            </w:r>
          </w:p>
        </w:tc>
        <w:tc>
          <w:tcPr>
            <w:tcW w:w="980" w:type="pct"/>
          </w:tcPr>
          <w:p w:rsidR="004661BB" w:rsidRPr="004661BB" w:rsidRDefault="004661BB" w:rsidP="0079467F">
            <w:pPr>
              <w:autoSpaceDE w:val="0"/>
              <w:autoSpaceDN w:val="0"/>
              <w:adjustRightInd w:val="0"/>
              <w:spacing w:after="120"/>
              <w:contextualSpacing/>
              <w:rPr>
                <w:rFonts w:eastAsia="Calibri" w:cs="Arial"/>
                <w:b/>
                <w:color w:val="000000"/>
                <w:sz w:val="22"/>
                <w:szCs w:val="22"/>
              </w:rPr>
            </w:pPr>
          </w:p>
          <w:p w:rsidR="004661BB" w:rsidRPr="004661BB" w:rsidRDefault="004661BB" w:rsidP="0079467F">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980" w:type="pct"/>
            <w:vAlign w:val="center"/>
          </w:tcPr>
          <w:p w:rsidR="004661BB" w:rsidRPr="004661BB" w:rsidRDefault="004661BB" w:rsidP="0079467F">
            <w:pPr>
              <w:autoSpaceDE w:val="0"/>
              <w:autoSpaceDN w:val="0"/>
              <w:adjustRightInd w:val="0"/>
              <w:spacing w:after="120"/>
              <w:ind w:left="360"/>
              <w:contextualSpacing/>
              <w:jc w:val="center"/>
              <w:rPr>
                <w:rFonts w:eastAsia="Calibri" w:cs="Arial"/>
                <w:b/>
                <w:color w:val="000000"/>
                <w:sz w:val="22"/>
                <w:szCs w:val="22"/>
              </w:rPr>
            </w:pPr>
            <w:r w:rsidRPr="004661BB">
              <w:rPr>
                <w:rFonts w:eastAsia="Calibri" w:cs="Arial"/>
                <w:b/>
                <w:color w:val="000000"/>
                <w:sz w:val="22"/>
                <w:szCs w:val="22"/>
              </w:rPr>
              <w:t>HOW WILL SUCCESS BE MEASURED?</w:t>
            </w:r>
          </w:p>
        </w:tc>
        <w:tc>
          <w:tcPr>
            <w:tcW w:w="928" w:type="pct"/>
            <w:vAlign w:val="center"/>
          </w:tcPr>
          <w:p w:rsidR="004661BB" w:rsidRPr="004661BB" w:rsidRDefault="004661BB"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TIMESCALE</w:t>
            </w:r>
          </w:p>
        </w:tc>
        <w:tc>
          <w:tcPr>
            <w:tcW w:w="1237" w:type="pct"/>
            <w:vAlign w:val="center"/>
          </w:tcPr>
          <w:p w:rsidR="004661BB" w:rsidRPr="004661BB" w:rsidRDefault="004661BB"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PROGRESS AT END SEPT 2015</w:t>
            </w:r>
          </w:p>
        </w:tc>
      </w:tr>
      <w:tr w:rsidR="004661BB" w:rsidRPr="004661BB" w:rsidTr="00D20F15">
        <w:tc>
          <w:tcPr>
            <w:tcW w:w="875" w:type="pct"/>
          </w:tcPr>
          <w:p w:rsidR="004661BB" w:rsidRPr="004661BB" w:rsidRDefault="004661BB" w:rsidP="00422E4F">
            <w:pPr>
              <w:autoSpaceDE w:val="0"/>
              <w:autoSpaceDN w:val="0"/>
              <w:adjustRightInd w:val="0"/>
              <w:spacing w:after="120"/>
              <w:rPr>
                <w:rFonts w:eastAsia="Calibri" w:cs="Arial"/>
                <w:color w:val="000000"/>
              </w:rPr>
            </w:pPr>
          </w:p>
        </w:tc>
        <w:tc>
          <w:tcPr>
            <w:tcW w:w="980" w:type="pct"/>
          </w:tcPr>
          <w:p w:rsidR="004661BB" w:rsidRPr="004661BB" w:rsidRDefault="004661BB" w:rsidP="00E13239">
            <w:pPr>
              <w:autoSpaceDE w:val="0"/>
              <w:autoSpaceDN w:val="0"/>
              <w:adjustRightInd w:val="0"/>
              <w:spacing w:after="120"/>
              <w:ind w:left="179"/>
              <w:contextualSpacing/>
              <w:rPr>
                <w:rFonts w:eastAsia="Calibri" w:cs="Arial"/>
                <w:color w:val="000000"/>
              </w:rPr>
            </w:pPr>
          </w:p>
        </w:tc>
        <w:tc>
          <w:tcPr>
            <w:tcW w:w="980" w:type="pct"/>
          </w:tcPr>
          <w:p w:rsidR="004661BB" w:rsidRPr="004661BB" w:rsidRDefault="004661BB"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Mentoring sessions being held where appropriate.</w:t>
            </w:r>
          </w:p>
        </w:tc>
        <w:tc>
          <w:tcPr>
            <w:tcW w:w="928" w:type="pct"/>
          </w:tcPr>
          <w:p w:rsidR="004661BB" w:rsidRPr="004661BB" w:rsidRDefault="004661BB" w:rsidP="00422E4F">
            <w:pPr>
              <w:autoSpaceDE w:val="0"/>
              <w:autoSpaceDN w:val="0"/>
              <w:adjustRightInd w:val="0"/>
              <w:spacing w:after="120"/>
              <w:rPr>
                <w:rFonts w:eastAsia="Calibri" w:cs="Arial"/>
                <w:color w:val="000000"/>
              </w:rPr>
            </w:pPr>
          </w:p>
        </w:tc>
        <w:tc>
          <w:tcPr>
            <w:tcW w:w="1237" w:type="pct"/>
          </w:tcPr>
          <w:p w:rsidR="004661BB" w:rsidRPr="004661BB" w:rsidRDefault="004661BB" w:rsidP="00E71059">
            <w:pPr>
              <w:autoSpaceDE w:val="0"/>
              <w:autoSpaceDN w:val="0"/>
              <w:adjustRightInd w:val="0"/>
              <w:spacing w:after="120"/>
              <w:rPr>
                <w:rFonts w:eastAsia="Calibri" w:cs="Arial"/>
                <w:color w:val="000000"/>
              </w:rPr>
            </w:pPr>
          </w:p>
        </w:tc>
      </w:tr>
      <w:tr w:rsidR="00E71059" w:rsidRPr="004661BB" w:rsidTr="00D20F15">
        <w:tc>
          <w:tcPr>
            <w:tcW w:w="875"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Review the effectiveness of Fund governance</w:t>
            </w:r>
          </w:p>
          <w:p w:rsidR="00422E4F" w:rsidRPr="004661BB" w:rsidRDefault="00422E4F" w:rsidP="00422E4F">
            <w:pPr>
              <w:autoSpaceDE w:val="0"/>
              <w:autoSpaceDN w:val="0"/>
              <w:adjustRightInd w:val="0"/>
              <w:spacing w:after="120"/>
              <w:rPr>
                <w:rFonts w:eastAsia="Calibri" w:cs="Arial"/>
                <w:color w:val="000000"/>
                <w:sz w:val="22"/>
                <w:szCs w:val="22"/>
              </w:rPr>
            </w:pP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Assessment of decision-making processes</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Policy and process review;</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Links to compliance monitoring processes;</w:t>
            </w:r>
          </w:p>
          <w:p w:rsidR="00422E4F" w:rsidRPr="004661BB" w:rsidRDefault="00422E4F" w:rsidP="00E71059">
            <w:pPr>
              <w:autoSpaceDE w:val="0"/>
              <w:autoSpaceDN w:val="0"/>
              <w:adjustRightInd w:val="0"/>
              <w:spacing w:after="120"/>
              <w:ind w:left="179"/>
              <w:contextualSpacing/>
              <w:rPr>
                <w:rFonts w:eastAsia="Calibri" w:cs="Arial"/>
                <w:color w:val="000000"/>
                <w:sz w:val="22"/>
                <w:szCs w:val="22"/>
              </w:rPr>
            </w:pP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Independent review including external audit and LPB;</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Agreement and approval of revised processes;</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Governance element incorporated into compliance monitoring.</w:t>
            </w:r>
          </w:p>
        </w:tc>
        <w:tc>
          <w:tcPr>
            <w:tcW w:w="928"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Governance review by 30 September 2015</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PFC approval by 30 November 2015</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Compliance monitoring programme in place by 1 April 2015</w:t>
            </w:r>
          </w:p>
        </w:tc>
        <w:tc>
          <w:tcPr>
            <w:tcW w:w="1237" w:type="pct"/>
          </w:tcPr>
          <w:p w:rsidR="00EE7D61" w:rsidRPr="004661BB" w:rsidRDefault="00EE7D61"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Governance review commenced but report may be delayed due to resource requirements of the LLPP partnership and the need for proposals to address the changed relationships brought about by LLPP</w:t>
            </w:r>
          </w:p>
          <w:p w:rsidR="00EE7D61" w:rsidRPr="004661BB" w:rsidRDefault="00EE7D61"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Compliance monitoring programme in place and first report made to Pension Fund Committee on 30</w:t>
            </w:r>
            <w:r w:rsidRPr="004661BB">
              <w:rPr>
                <w:rFonts w:eastAsia="Calibri" w:cs="Arial"/>
                <w:color w:val="000000"/>
                <w:sz w:val="22"/>
                <w:szCs w:val="22"/>
                <w:vertAlign w:val="superscript"/>
              </w:rPr>
              <w:t>th</w:t>
            </w:r>
            <w:r w:rsidRPr="004661BB">
              <w:rPr>
                <w:rFonts w:eastAsia="Calibri" w:cs="Arial"/>
                <w:color w:val="000000"/>
                <w:sz w:val="22"/>
                <w:szCs w:val="22"/>
              </w:rPr>
              <w:t xml:space="preserve"> Sept 2015.</w:t>
            </w:r>
          </w:p>
          <w:p w:rsidR="00422E4F" w:rsidRPr="004661BB" w:rsidRDefault="00422E4F" w:rsidP="00E71059">
            <w:pPr>
              <w:autoSpaceDE w:val="0"/>
              <w:autoSpaceDN w:val="0"/>
              <w:adjustRightInd w:val="0"/>
              <w:spacing w:after="120"/>
              <w:rPr>
                <w:rFonts w:eastAsia="Calibri" w:cs="Arial"/>
                <w:color w:val="000000"/>
                <w:sz w:val="22"/>
                <w:szCs w:val="22"/>
              </w:rPr>
            </w:pPr>
          </w:p>
        </w:tc>
      </w:tr>
      <w:tr w:rsidR="00E71059" w:rsidRPr="004661BB" w:rsidTr="00D20F15">
        <w:tc>
          <w:tcPr>
            <w:tcW w:w="875"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Continue to explore the potential opportunities arising from collaboration with other Funds within both Local Government Pension Scheme, and wider Pension Fund community</w:t>
            </w:r>
          </w:p>
          <w:p w:rsidR="00422E4F" w:rsidRDefault="00422E4F" w:rsidP="00422E4F">
            <w:pPr>
              <w:autoSpaceDE w:val="0"/>
              <w:autoSpaceDN w:val="0"/>
              <w:adjustRightInd w:val="0"/>
              <w:spacing w:after="120"/>
              <w:rPr>
                <w:rFonts w:eastAsia="Calibri" w:cs="Arial"/>
                <w:color w:val="000000"/>
                <w:sz w:val="22"/>
                <w:szCs w:val="22"/>
              </w:rPr>
            </w:pPr>
          </w:p>
          <w:p w:rsidR="00936716" w:rsidRPr="004661BB" w:rsidRDefault="00936716" w:rsidP="00422E4F">
            <w:pPr>
              <w:autoSpaceDE w:val="0"/>
              <w:autoSpaceDN w:val="0"/>
              <w:adjustRightInd w:val="0"/>
              <w:spacing w:after="120"/>
              <w:rPr>
                <w:rFonts w:eastAsia="Calibri" w:cs="Arial"/>
                <w:color w:val="000000"/>
                <w:sz w:val="22"/>
                <w:szCs w:val="22"/>
              </w:rPr>
            </w:pP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Take legal advice to create appropriate structure which is scalable;</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Progress London Pension Fund Authority (LPFA) collaboration as first step on this journey.</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Identify areas where collaboration may be beneficial.</w:t>
            </w: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Approval of appropriate vehicles and governance for pooling and collaboration;</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Demonstration of appropriate cost/ benefit analysis;</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Ability for scaling to other interested parties.</w:t>
            </w:r>
          </w:p>
        </w:tc>
        <w:tc>
          <w:tcPr>
            <w:tcW w:w="928"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Decision on LPFA collaboration by 31st July 2015</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Depending upon above, creation of appropriate vehicle by 31 March 2016</w:t>
            </w:r>
          </w:p>
        </w:tc>
        <w:tc>
          <w:tcPr>
            <w:tcW w:w="1237" w:type="pct"/>
          </w:tcPr>
          <w:p w:rsidR="00422E4F" w:rsidRPr="004661BB" w:rsidRDefault="00EE7D61"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Initial decision taken on 2</w:t>
            </w:r>
            <w:r w:rsidRPr="004661BB">
              <w:rPr>
                <w:rFonts w:eastAsia="Calibri" w:cs="Arial"/>
                <w:color w:val="000000"/>
                <w:sz w:val="22"/>
                <w:szCs w:val="22"/>
                <w:vertAlign w:val="superscript"/>
              </w:rPr>
              <w:t>nd</w:t>
            </w:r>
            <w:r w:rsidRPr="004661BB">
              <w:rPr>
                <w:rFonts w:eastAsia="Calibri" w:cs="Arial"/>
                <w:color w:val="000000"/>
                <w:sz w:val="22"/>
                <w:szCs w:val="22"/>
              </w:rPr>
              <w:t xml:space="preserve"> July 2015.</w:t>
            </w:r>
          </w:p>
          <w:p w:rsidR="00EE7D61" w:rsidRPr="004661BB" w:rsidRDefault="00EE7D61"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Progress on creating the new vehicles and achieving registration is in line with plan.</w:t>
            </w:r>
          </w:p>
        </w:tc>
      </w:tr>
      <w:tr w:rsidR="00936716" w:rsidRPr="004661BB" w:rsidTr="00D20F15">
        <w:trPr>
          <w:trHeight w:val="1125"/>
        </w:trPr>
        <w:tc>
          <w:tcPr>
            <w:tcW w:w="875" w:type="pct"/>
            <w:vAlign w:val="center"/>
          </w:tcPr>
          <w:p w:rsidR="00936716" w:rsidRPr="004661BB" w:rsidRDefault="00936716"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lastRenderedPageBreak/>
              <w:t>ACTION</w:t>
            </w:r>
          </w:p>
        </w:tc>
        <w:tc>
          <w:tcPr>
            <w:tcW w:w="980" w:type="pct"/>
          </w:tcPr>
          <w:p w:rsidR="00936716" w:rsidRPr="004661BB" w:rsidRDefault="00936716" w:rsidP="0079467F">
            <w:pPr>
              <w:autoSpaceDE w:val="0"/>
              <w:autoSpaceDN w:val="0"/>
              <w:adjustRightInd w:val="0"/>
              <w:spacing w:after="120"/>
              <w:contextualSpacing/>
              <w:rPr>
                <w:rFonts w:eastAsia="Calibri" w:cs="Arial"/>
                <w:b/>
                <w:color w:val="000000"/>
                <w:sz w:val="22"/>
                <w:szCs w:val="22"/>
              </w:rPr>
            </w:pPr>
          </w:p>
          <w:p w:rsidR="00936716" w:rsidRPr="004661BB" w:rsidRDefault="00936716" w:rsidP="0079467F">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980" w:type="pct"/>
            <w:vAlign w:val="center"/>
          </w:tcPr>
          <w:p w:rsidR="00936716" w:rsidRPr="004661BB" w:rsidRDefault="00936716" w:rsidP="0079467F">
            <w:pPr>
              <w:autoSpaceDE w:val="0"/>
              <w:autoSpaceDN w:val="0"/>
              <w:adjustRightInd w:val="0"/>
              <w:spacing w:after="120"/>
              <w:ind w:left="360"/>
              <w:contextualSpacing/>
              <w:jc w:val="center"/>
              <w:rPr>
                <w:rFonts w:eastAsia="Calibri" w:cs="Arial"/>
                <w:b/>
                <w:color w:val="000000"/>
                <w:sz w:val="22"/>
                <w:szCs w:val="22"/>
              </w:rPr>
            </w:pPr>
            <w:r w:rsidRPr="004661BB">
              <w:rPr>
                <w:rFonts w:eastAsia="Calibri" w:cs="Arial"/>
                <w:b/>
                <w:color w:val="000000"/>
                <w:sz w:val="22"/>
                <w:szCs w:val="22"/>
              </w:rPr>
              <w:t>HOW WILL SUCCESS BE MEASURED?</w:t>
            </w:r>
          </w:p>
        </w:tc>
        <w:tc>
          <w:tcPr>
            <w:tcW w:w="928" w:type="pct"/>
            <w:vAlign w:val="center"/>
          </w:tcPr>
          <w:p w:rsidR="00936716" w:rsidRPr="004661BB" w:rsidRDefault="00936716"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TIMESCALE</w:t>
            </w:r>
          </w:p>
        </w:tc>
        <w:tc>
          <w:tcPr>
            <w:tcW w:w="1237" w:type="pct"/>
            <w:vAlign w:val="center"/>
          </w:tcPr>
          <w:p w:rsidR="00936716" w:rsidRPr="004661BB" w:rsidRDefault="00936716"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PROGRESS AT END SEPT 2015</w:t>
            </w:r>
          </w:p>
        </w:tc>
      </w:tr>
      <w:tr w:rsidR="00E71059" w:rsidRPr="004661BB" w:rsidTr="00D20F15">
        <w:tc>
          <w:tcPr>
            <w:tcW w:w="875"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Continue to develop and implement an effective compliance and monitoring programme</w:t>
            </w:r>
          </w:p>
          <w:p w:rsidR="00422E4F" w:rsidRPr="004661BB" w:rsidRDefault="00422E4F" w:rsidP="00422E4F">
            <w:pPr>
              <w:autoSpaceDE w:val="0"/>
              <w:autoSpaceDN w:val="0"/>
              <w:adjustRightInd w:val="0"/>
              <w:spacing w:after="120"/>
              <w:rPr>
                <w:rFonts w:eastAsia="Calibri" w:cs="Arial"/>
                <w:color w:val="000000"/>
                <w:sz w:val="22"/>
                <w:szCs w:val="22"/>
              </w:rPr>
            </w:pP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Finalisation of Compliance Manual;</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Implementation of compliance monitoring programme including monthly, quarterly, and annual tests</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Development of PFC reporting regime.</w:t>
            </w: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Agreed Compliance Manual distributed to stakeholders;</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Compliance monitoring programme in place and assurance reported/ actions planned.</w:t>
            </w:r>
          </w:p>
        </w:tc>
        <w:tc>
          <w:tcPr>
            <w:tcW w:w="928"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Manual agreed by 31 March 2015</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Monitoring programme from 1 April 2015</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First assurance report to PFC June 2015</w:t>
            </w:r>
          </w:p>
        </w:tc>
        <w:tc>
          <w:tcPr>
            <w:tcW w:w="1237" w:type="pct"/>
          </w:tcPr>
          <w:p w:rsidR="00422E4F" w:rsidRPr="004661BB" w:rsidRDefault="00EE7D61"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Initial LCPF Compliance Manual in place.</w:t>
            </w:r>
          </w:p>
          <w:p w:rsidR="00EE7D61" w:rsidRPr="004661BB" w:rsidRDefault="00EE7D61"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Monitoring programme being undertaken.</w:t>
            </w:r>
          </w:p>
          <w:p w:rsidR="00EE7D61" w:rsidRPr="004661BB" w:rsidRDefault="00EE7D61"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First assurance report based on information to the end of June to PFC 30 Sept 2015.</w:t>
            </w:r>
          </w:p>
        </w:tc>
      </w:tr>
      <w:tr w:rsidR="00E71059" w:rsidRPr="004661BB" w:rsidTr="00D20F15">
        <w:tc>
          <w:tcPr>
            <w:tcW w:w="875"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Enhance current risk management processes</w:t>
            </w:r>
          </w:p>
          <w:p w:rsidR="00422E4F" w:rsidRPr="004661BB" w:rsidRDefault="00422E4F" w:rsidP="00422E4F">
            <w:pPr>
              <w:autoSpaceDE w:val="0"/>
              <w:autoSpaceDN w:val="0"/>
              <w:adjustRightInd w:val="0"/>
              <w:spacing w:after="120"/>
              <w:rPr>
                <w:rFonts w:eastAsia="Calibri" w:cs="Arial"/>
                <w:color w:val="000000"/>
                <w:sz w:val="22"/>
                <w:szCs w:val="22"/>
              </w:rPr>
            </w:pP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Ongoing assessment of existing and new risks;</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Improved horizon scanning;</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Linking of risk register to compliance programme;</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Development of trend analysis.</w:t>
            </w:r>
          </w:p>
        </w:tc>
        <w:tc>
          <w:tcPr>
            <w:tcW w:w="980" w:type="pct"/>
          </w:tcPr>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Ongoing identification and updating of risk register;</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Regular strategic planning and longer term perspective;</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Transparency of risks and monitoring;</w:t>
            </w:r>
          </w:p>
          <w:p w:rsidR="00422E4F" w:rsidRPr="004661BB" w:rsidRDefault="00422E4F" w:rsidP="00E71059">
            <w:pPr>
              <w:numPr>
                <w:ilvl w:val="0"/>
                <w:numId w:val="1"/>
              </w:numPr>
              <w:autoSpaceDE w:val="0"/>
              <w:autoSpaceDN w:val="0"/>
              <w:adjustRightInd w:val="0"/>
              <w:spacing w:after="120"/>
              <w:ind w:left="179" w:hanging="179"/>
              <w:contextualSpacing/>
              <w:rPr>
                <w:rFonts w:eastAsia="Calibri" w:cs="Arial"/>
                <w:color w:val="000000"/>
                <w:sz w:val="22"/>
                <w:szCs w:val="22"/>
              </w:rPr>
            </w:pPr>
            <w:r w:rsidRPr="004661BB">
              <w:rPr>
                <w:rFonts w:eastAsia="Calibri" w:cs="Arial"/>
                <w:color w:val="000000"/>
                <w:sz w:val="22"/>
                <w:szCs w:val="22"/>
              </w:rPr>
              <w:t>Enhanced reporting of risk reporting and internal control assurance.</w:t>
            </w:r>
          </w:p>
        </w:tc>
        <w:tc>
          <w:tcPr>
            <w:tcW w:w="928"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Risk approach to be enhanced on an ongoing basis throughout 2015/16</w:t>
            </w:r>
          </w:p>
        </w:tc>
        <w:tc>
          <w:tcPr>
            <w:tcW w:w="1237" w:type="pct"/>
          </w:tcPr>
          <w:p w:rsidR="00422E4F" w:rsidRPr="004661BB" w:rsidRDefault="00677922" w:rsidP="00E71059">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Limited enhancements made to the assessment and reporting processes, with a view to the fact that more fundamental change will take place when LLPP becomes operational.</w:t>
            </w:r>
          </w:p>
        </w:tc>
      </w:tr>
      <w:tr w:rsidR="00571124" w:rsidRPr="004661BB" w:rsidTr="00D20F15">
        <w:tc>
          <w:tcPr>
            <w:tcW w:w="875" w:type="pct"/>
          </w:tcPr>
          <w:p w:rsidR="007A2747" w:rsidRPr="007A2747" w:rsidRDefault="007A2747" w:rsidP="00571124">
            <w:pPr>
              <w:autoSpaceDE w:val="0"/>
              <w:autoSpaceDN w:val="0"/>
              <w:adjustRightInd w:val="0"/>
              <w:rPr>
                <w:rFonts w:eastAsia="Calibri" w:cs="Arial"/>
                <w:b/>
                <w:color w:val="000000"/>
                <w:sz w:val="22"/>
                <w:szCs w:val="22"/>
              </w:rPr>
            </w:pPr>
            <w:r>
              <w:rPr>
                <w:rFonts w:eastAsia="Calibri" w:cs="Arial"/>
                <w:b/>
                <w:color w:val="000000"/>
                <w:sz w:val="22"/>
                <w:szCs w:val="22"/>
              </w:rPr>
              <w:t>Asset and Liability Management</w:t>
            </w:r>
          </w:p>
          <w:p w:rsidR="00571124" w:rsidRPr="00571124" w:rsidRDefault="00571124" w:rsidP="00571124">
            <w:pPr>
              <w:autoSpaceDE w:val="0"/>
              <w:autoSpaceDN w:val="0"/>
              <w:adjustRightInd w:val="0"/>
              <w:rPr>
                <w:rFonts w:eastAsia="Calibri" w:cs="Arial"/>
                <w:color w:val="000000"/>
                <w:sz w:val="22"/>
                <w:szCs w:val="22"/>
              </w:rPr>
            </w:pPr>
            <w:r w:rsidRPr="00571124">
              <w:rPr>
                <w:rFonts w:eastAsia="Calibri" w:cs="Arial"/>
                <w:color w:val="000000"/>
                <w:sz w:val="22"/>
                <w:szCs w:val="22"/>
              </w:rPr>
              <w:t>Implement the recommendations of the Member Working Group on Responsible Investment</w:t>
            </w:r>
          </w:p>
        </w:tc>
        <w:tc>
          <w:tcPr>
            <w:tcW w:w="980" w:type="pct"/>
          </w:tcPr>
          <w:p w:rsidR="00A31E4B" w:rsidRPr="00A31E4B" w:rsidRDefault="00A31E4B" w:rsidP="00A31E4B">
            <w:pPr>
              <w:numPr>
                <w:ilvl w:val="0"/>
                <w:numId w:val="1"/>
              </w:numPr>
              <w:autoSpaceDE w:val="0"/>
              <w:autoSpaceDN w:val="0"/>
              <w:adjustRightInd w:val="0"/>
              <w:ind w:left="179" w:hanging="179"/>
              <w:contextualSpacing/>
              <w:rPr>
                <w:rFonts w:eastAsia="Calibri" w:cs="Arial"/>
                <w:color w:val="000000"/>
                <w:sz w:val="22"/>
                <w:szCs w:val="22"/>
              </w:rPr>
            </w:pPr>
            <w:r w:rsidRPr="00A31E4B">
              <w:rPr>
                <w:rFonts w:eastAsia="Calibri" w:cs="Arial"/>
                <w:color w:val="000000"/>
                <w:sz w:val="22"/>
                <w:szCs w:val="22"/>
              </w:rPr>
              <w:t>Adherence to the UN Principles of Responsible Investment</w:t>
            </w:r>
          </w:p>
          <w:p w:rsidR="003605AF" w:rsidRPr="00A31E4B" w:rsidRDefault="00D20F15" w:rsidP="00A31E4B">
            <w:pPr>
              <w:numPr>
                <w:ilvl w:val="0"/>
                <w:numId w:val="1"/>
              </w:numPr>
              <w:autoSpaceDE w:val="0"/>
              <w:autoSpaceDN w:val="0"/>
              <w:adjustRightInd w:val="0"/>
              <w:ind w:left="179" w:hanging="179"/>
              <w:contextualSpacing/>
              <w:rPr>
                <w:rFonts w:eastAsia="Calibri" w:cs="Arial"/>
                <w:color w:val="000000"/>
                <w:sz w:val="22"/>
                <w:szCs w:val="22"/>
              </w:rPr>
            </w:pPr>
            <w:r w:rsidRPr="00A31E4B">
              <w:rPr>
                <w:rFonts w:eastAsia="Calibri" w:cs="Arial"/>
                <w:color w:val="000000"/>
                <w:sz w:val="22"/>
                <w:szCs w:val="22"/>
              </w:rPr>
              <w:t>Measurement of the quality of commitment to good governance of invested companies against a benchmark</w:t>
            </w:r>
          </w:p>
        </w:tc>
        <w:tc>
          <w:tcPr>
            <w:tcW w:w="980" w:type="pct"/>
          </w:tcPr>
          <w:p w:rsidR="00A31E4B" w:rsidRPr="00A31E4B" w:rsidRDefault="00A31E4B" w:rsidP="00A31E4B">
            <w:pPr>
              <w:numPr>
                <w:ilvl w:val="0"/>
                <w:numId w:val="1"/>
              </w:numPr>
              <w:autoSpaceDE w:val="0"/>
              <w:autoSpaceDN w:val="0"/>
              <w:adjustRightInd w:val="0"/>
              <w:spacing w:after="120"/>
              <w:ind w:left="175" w:hanging="142"/>
              <w:contextualSpacing/>
              <w:jc w:val="both"/>
              <w:rPr>
                <w:rFonts w:eastAsia="Calibri" w:cs="Arial"/>
                <w:color w:val="000000"/>
                <w:sz w:val="22"/>
                <w:szCs w:val="22"/>
              </w:rPr>
            </w:pPr>
            <w:r w:rsidRPr="00A31E4B">
              <w:rPr>
                <w:rFonts w:eastAsia="Calibri" w:cs="Arial"/>
                <w:color w:val="000000"/>
                <w:sz w:val="22"/>
                <w:szCs w:val="22"/>
              </w:rPr>
              <w:t>Sign off by the UNPRI organisation</w:t>
            </w:r>
          </w:p>
          <w:p w:rsidR="00A31E4B" w:rsidRPr="00A31E4B" w:rsidRDefault="00A31E4B" w:rsidP="00A31E4B">
            <w:pPr>
              <w:numPr>
                <w:ilvl w:val="0"/>
                <w:numId w:val="1"/>
              </w:numPr>
              <w:autoSpaceDE w:val="0"/>
              <w:autoSpaceDN w:val="0"/>
              <w:adjustRightInd w:val="0"/>
              <w:spacing w:after="120"/>
              <w:ind w:left="175" w:hanging="142"/>
              <w:contextualSpacing/>
              <w:jc w:val="both"/>
              <w:rPr>
                <w:rFonts w:eastAsia="Calibri" w:cs="Arial"/>
                <w:color w:val="000000"/>
                <w:sz w:val="22"/>
                <w:szCs w:val="22"/>
              </w:rPr>
            </w:pPr>
            <w:r w:rsidRPr="00A31E4B">
              <w:rPr>
                <w:rFonts w:eastAsia="Calibri" w:cs="Arial"/>
                <w:color w:val="000000"/>
                <w:sz w:val="22"/>
                <w:szCs w:val="22"/>
              </w:rPr>
              <w:t>Reporting of the benchmarking results to PFC and Fund stakeholders</w:t>
            </w:r>
          </w:p>
          <w:p w:rsidR="00571124" w:rsidRPr="00BB062E" w:rsidRDefault="00571124" w:rsidP="00965320">
            <w:pPr>
              <w:pStyle w:val="ListParagraph"/>
              <w:autoSpaceDE w:val="0"/>
              <w:autoSpaceDN w:val="0"/>
              <w:adjustRightInd w:val="0"/>
              <w:rPr>
                <w:rFonts w:eastAsia="Calibri" w:cs="Arial"/>
                <w:color w:val="000000"/>
                <w:sz w:val="22"/>
                <w:szCs w:val="22"/>
              </w:rPr>
            </w:pPr>
          </w:p>
        </w:tc>
        <w:tc>
          <w:tcPr>
            <w:tcW w:w="928" w:type="pct"/>
          </w:tcPr>
          <w:p w:rsidR="00BB062E" w:rsidRDefault="00BB062E" w:rsidP="00BB062E">
            <w:pPr>
              <w:numPr>
                <w:ilvl w:val="0"/>
                <w:numId w:val="2"/>
              </w:numPr>
              <w:autoSpaceDE w:val="0"/>
              <w:autoSpaceDN w:val="0"/>
              <w:adjustRightInd w:val="0"/>
              <w:spacing w:after="120"/>
              <w:contextualSpacing/>
              <w:rPr>
                <w:rFonts w:eastAsia="Calibri" w:cs="Arial"/>
                <w:color w:val="000000"/>
                <w:sz w:val="22"/>
                <w:szCs w:val="22"/>
                <w:lang w:eastAsia="en-US"/>
              </w:rPr>
            </w:pPr>
            <w:r w:rsidRPr="00BB062E">
              <w:rPr>
                <w:rFonts w:eastAsia="Calibri" w:cs="Arial"/>
                <w:color w:val="000000"/>
                <w:sz w:val="22"/>
                <w:szCs w:val="22"/>
                <w:lang w:eastAsia="en-US"/>
              </w:rPr>
              <w:t>Initially by May 2015 and annually thereafter</w:t>
            </w:r>
          </w:p>
          <w:p w:rsidR="00571124" w:rsidRPr="00BB062E" w:rsidRDefault="00BB062E" w:rsidP="00BB062E">
            <w:pPr>
              <w:numPr>
                <w:ilvl w:val="0"/>
                <w:numId w:val="2"/>
              </w:numPr>
              <w:autoSpaceDE w:val="0"/>
              <w:autoSpaceDN w:val="0"/>
              <w:adjustRightInd w:val="0"/>
              <w:spacing w:after="120"/>
              <w:contextualSpacing/>
              <w:rPr>
                <w:rFonts w:eastAsia="Calibri" w:cs="Arial"/>
                <w:color w:val="000000"/>
                <w:sz w:val="22"/>
                <w:szCs w:val="22"/>
                <w:lang w:eastAsia="en-US"/>
              </w:rPr>
            </w:pPr>
            <w:r w:rsidRPr="00BB062E">
              <w:rPr>
                <w:rFonts w:eastAsia="Calibri" w:cs="Arial"/>
                <w:color w:val="000000"/>
                <w:sz w:val="22"/>
                <w:szCs w:val="22"/>
                <w:lang w:eastAsia="en-US"/>
              </w:rPr>
              <w:t>September 2015 as part of the Fun</w:t>
            </w:r>
            <w:r>
              <w:rPr>
                <w:rFonts w:eastAsia="Calibri" w:cs="Arial"/>
                <w:color w:val="000000"/>
                <w:sz w:val="22"/>
                <w:szCs w:val="22"/>
                <w:lang w:eastAsia="en-US"/>
              </w:rPr>
              <w:t>d's Annual Report, then annually</w:t>
            </w:r>
          </w:p>
        </w:tc>
        <w:tc>
          <w:tcPr>
            <w:tcW w:w="1237" w:type="pct"/>
          </w:tcPr>
          <w:p w:rsidR="00CD0FD6" w:rsidRPr="004661BB" w:rsidRDefault="00CD0FD6" w:rsidP="00CD0FD6">
            <w:pPr>
              <w:autoSpaceDE w:val="0"/>
              <w:autoSpaceDN w:val="0"/>
              <w:adjustRightInd w:val="0"/>
              <w:spacing w:after="120"/>
              <w:contextualSpacing/>
              <w:jc w:val="both"/>
              <w:rPr>
                <w:rFonts w:eastAsia="Calibri" w:cs="Arial"/>
                <w:color w:val="000000"/>
                <w:sz w:val="22"/>
                <w:szCs w:val="22"/>
              </w:rPr>
            </w:pPr>
            <w:r w:rsidRPr="004661BB">
              <w:rPr>
                <w:rFonts w:eastAsia="Calibri" w:cs="Arial"/>
                <w:color w:val="000000"/>
                <w:sz w:val="22"/>
                <w:szCs w:val="22"/>
              </w:rPr>
              <w:t>Organisation signed up to UNPRI.</w:t>
            </w:r>
          </w:p>
          <w:p w:rsidR="00CD0FD6" w:rsidRPr="004661BB" w:rsidRDefault="00CD0FD6" w:rsidP="00CD0FD6">
            <w:pPr>
              <w:autoSpaceDE w:val="0"/>
              <w:autoSpaceDN w:val="0"/>
              <w:adjustRightInd w:val="0"/>
              <w:spacing w:after="120"/>
              <w:contextualSpacing/>
              <w:jc w:val="both"/>
              <w:rPr>
                <w:rFonts w:eastAsia="Calibri" w:cs="Arial"/>
                <w:color w:val="000000"/>
                <w:sz w:val="22"/>
                <w:szCs w:val="22"/>
              </w:rPr>
            </w:pPr>
          </w:p>
          <w:p w:rsidR="00CD0FD6" w:rsidRDefault="00CD0FD6" w:rsidP="00CD0FD6">
            <w:pPr>
              <w:autoSpaceDE w:val="0"/>
              <w:autoSpaceDN w:val="0"/>
              <w:adjustRightInd w:val="0"/>
              <w:spacing w:after="120"/>
              <w:contextualSpacing/>
              <w:jc w:val="both"/>
              <w:rPr>
                <w:rFonts w:eastAsia="Calibri" w:cs="Arial"/>
                <w:color w:val="000000"/>
                <w:sz w:val="22"/>
                <w:szCs w:val="22"/>
              </w:rPr>
            </w:pPr>
            <w:r w:rsidRPr="004661BB">
              <w:rPr>
                <w:rFonts w:eastAsia="Calibri" w:cs="Arial"/>
                <w:color w:val="000000"/>
                <w:sz w:val="22"/>
                <w:szCs w:val="22"/>
              </w:rPr>
              <w:t xml:space="preserve">Progress on benchmarking not as rapid as intended. </w:t>
            </w:r>
          </w:p>
          <w:p w:rsidR="00571124" w:rsidRPr="004661BB" w:rsidRDefault="00571124" w:rsidP="00CD0FD6">
            <w:pPr>
              <w:autoSpaceDE w:val="0"/>
              <w:autoSpaceDN w:val="0"/>
              <w:adjustRightInd w:val="0"/>
              <w:rPr>
                <w:rFonts w:eastAsia="Calibri" w:cs="Arial"/>
                <w:color w:val="000000"/>
              </w:rPr>
            </w:pPr>
          </w:p>
        </w:tc>
      </w:tr>
      <w:tr w:rsidR="00BB062E" w:rsidRPr="004661BB" w:rsidTr="0079467F">
        <w:trPr>
          <w:trHeight w:val="1125"/>
        </w:trPr>
        <w:tc>
          <w:tcPr>
            <w:tcW w:w="875" w:type="pct"/>
            <w:vAlign w:val="center"/>
          </w:tcPr>
          <w:p w:rsidR="00BB062E" w:rsidRPr="004661BB" w:rsidRDefault="00BB062E"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ACTION</w:t>
            </w:r>
          </w:p>
        </w:tc>
        <w:tc>
          <w:tcPr>
            <w:tcW w:w="980" w:type="pct"/>
          </w:tcPr>
          <w:p w:rsidR="00BB062E" w:rsidRPr="004661BB" w:rsidRDefault="00BB062E" w:rsidP="0079467F">
            <w:pPr>
              <w:autoSpaceDE w:val="0"/>
              <w:autoSpaceDN w:val="0"/>
              <w:adjustRightInd w:val="0"/>
              <w:spacing w:after="120"/>
              <w:contextualSpacing/>
              <w:rPr>
                <w:rFonts w:eastAsia="Calibri" w:cs="Arial"/>
                <w:b/>
                <w:color w:val="000000"/>
                <w:sz w:val="22"/>
                <w:szCs w:val="22"/>
              </w:rPr>
            </w:pPr>
          </w:p>
          <w:p w:rsidR="00BB062E" w:rsidRPr="004661BB" w:rsidRDefault="00BB062E" w:rsidP="0079467F">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980" w:type="pct"/>
            <w:vAlign w:val="center"/>
          </w:tcPr>
          <w:p w:rsidR="00BB062E" w:rsidRPr="004661BB" w:rsidRDefault="00BB062E" w:rsidP="0079467F">
            <w:pPr>
              <w:autoSpaceDE w:val="0"/>
              <w:autoSpaceDN w:val="0"/>
              <w:adjustRightInd w:val="0"/>
              <w:spacing w:after="120"/>
              <w:ind w:left="360"/>
              <w:contextualSpacing/>
              <w:jc w:val="center"/>
              <w:rPr>
                <w:rFonts w:eastAsia="Calibri" w:cs="Arial"/>
                <w:b/>
                <w:color w:val="000000"/>
                <w:sz w:val="22"/>
                <w:szCs w:val="22"/>
              </w:rPr>
            </w:pPr>
            <w:r w:rsidRPr="004661BB">
              <w:rPr>
                <w:rFonts w:eastAsia="Calibri" w:cs="Arial"/>
                <w:b/>
                <w:color w:val="000000"/>
                <w:sz w:val="22"/>
                <w:szCs w:val="22"/>
              </w:rPr>
              <w:t>HOW WILL SUCCESS BE MEASURED?</w:t>
            </w:r>
          </w:p>
        </w:tc>
        <w:tc>
          <w:tcPr>
            <w:tcW w:w="928" w:type="pct"/>
            <w:vAlign w:val="center"/>
          </w:tcPr>
          <w:p w:rsidR="00BB062E" w:rsidRPr="004661BB" w:rsidRDefault="00BB062E" w:rsidP="00BB062E">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TIMESCALE</w:t>
            </w:r>
          </w:p>
        </w:tc>
        <w:tc>
          <w:tcPr>
            <w:tcW w:w="1237" w:type="pct"/>
            <w:vAlign w:val="center"/>
          </w:tcPr>
          <w:p w:rsidR="00BB062E" w:rsidRPr="004661BB" w:rsidRDefault="00BB062E"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PROGRESS AT END SEPT 2015</w:t>
            </w:r>
          </w:p>
        </w:tc>
      </w:tr>
      <w:tr w:rsidR="00BB062E" w:rsidRPr="004661BB" w:rsidTr="00CD0FD6">
        <w:trPr>
          <w:trHeight w:val="1125"/>
        </w:trPr>
        <w:tc>
          <w:tcPr>
            <w:tcW w:w="875" w:type="pct"/>
            <w:tcBorders>
              <w:bottom w:val="nil"/>
            </w:tcBorders>
          </w:tcPr>
          <w:p w:rsidR="00BB062E" w:rsidRPr="004661BB" w:rsidRDefault="00BB062E" w:rsidP="00BB062E">
            <w:pPr>
              <w:autoSpaceDE w:val="0"/>
              <w:autoSpaceDN w:val="0"/>
              <w:adjustRightInd w:val="0"/>
              <w:spacing w:after="120"/>
              <w:rPr>
                <w:rFonts w:eastAsia="Calibri" w:cs="Arial"/>
                <w:b/>
                <w:color w:val="000000"/>
              </w:rPr>
            </w:pPr>
          </w:p>
        </w:tc>
        <w:tc>
          <w:tcPr>
            <w:tcW w:w="980" w:type="pct"/>
            <w:tcBorders>
              <w:bottom w:val="nil"/>
            </w:tcBorders>
          </w:tcPr>
          <w:p w:rsidR="00BB062E" w:rsidRDefault="00A31E4B" w:rsidP="00BB062E">
            <w:pPr>
              <w:autoSpaceDE w:val="0"/>
              <w:autoSpaceDN w:val="0"/>
              <w:adjustRightInd w:val="0"/>
              <w:spacing w:after="120"/>
              <w:contextualSpacing/>
              <w:rPr>
                <w:rFonts w:eastAsia="Calibri" w:cs="Arial"/>
                <w:color w:val="000000"/>
                <w:sz w:val="22"/>
                <w:szCs w:val="22"/>
              </w:rPr>
            </w:pPr>
            <w:r w:rsidRPr="00A31E4B">
              <w:rPr>
                <w:rFonts w:eastAsia="Calibri" w:cs="Arial"/>
                <w:color w:val="000000"/>
                <w:sz w:val="22"/>
                <w:szCs w:val="22"/>
              </w:rPr>
              <w:t>Measurement of the environmental impact of the Fund's investments</w:t>
            </w:r>
          </w:p>
          <w:p w:rsidR="00A31E4B" w:rsidRDefault="00A31E4B" w:rsidP="00BB062E">
            <w:pPr>
              <w:autoSpaceDE w:val="0"/>
              <w:autoSpaceDN w:val="0"/>
              <w:adjustRightInd w:val="0"/>
              <w:spacing w:after="120"/>
              <w:contextualSpacing/>
              <w:rPr>
                <w:rFonts w:eastAsia="Calibri" w:cs="Arial"/>
                <w:color w:val="000000"/>
                <w:sz w:val="22"/>
                <w:szCs w:val="22"/>
              </w:rPr>
            </w:pPr>
          </w:p>
          <w:p w:rsidR="00A31E4B" w:rsidRPr="00A31E4B" w:rsidRDefault="00A31E4B" w:rsidP="00BB062E">
            <w:pPr>
              <w:autoSpaceDE w:val="0"/>
              <w:autoSpaceDN w:val="0"/>
              <w:adjustRightInd w:val="0"/>
              <w:spacing w:after="120"/>
              <w:contextualSpacing/>
              <w:rPr>
                <w:rFonts w:eastAsia="Calibri" w:cs="Arial"/>
                <w:b/>
                <w:color w:val="000000"/>
                <w:sz w:val="22"/>
                <w:szCs w:val="22"/>
              </w:rPr>
            </w:pPr>
            <w:r w:rsidRPr="00A31E4B">
              <w:rPr>
                <w:rFonts w:eastAsia="Calibri" w:cs="Arial"/>
                <w:color w:val="000000"/>
                <w:sz w:val="22"/>
                <w:szCs w:val="22"/>
              </w:rPr>
              <w:t>Actively engage with the Local Authority Pension Fund Forum to further</w:t>
            </w:r>
            <w:r w:rsidR="007A2747">
              <w:rPr>
                <w:rFonts w:eastAsia="Calibri" w:cs="Arial"/>
                <w:color w:val="000000"/>
                <w:sz w:val="22"/>
                <w:szCs w:val="22"/>
              </w:rPr>
              <w:t xml:space="preserve"> the Fund's RI objectives</w:t>
            </w:r>
            <w:r w:rsidRPr="00A31E4B">
              <w:rPr>
                <w:rFonts w:eastAsia="Calibri" w:cs="Arial"/>
                <w:color w:val="000000"/>
                <w:sz w:val="22"/>
                <w:szCs w:val="22"/>
              </w:rPr>
              <w:t xml:space="preserve">  </w:t>
            </w:r>
          </w:p>
        </w:tc>
        <w:tc>
          <w:tcPr>
            <w:tcW w:w="980" w:type="pct"/>
            <w:tcBorders>
              <w:bottom w:val="nil"/>
            </w:tcBorders>
          </w:tcPr>
          <w:p w:rsidR="00CD0FD6" w:rsidRPr="00CD0FD6" w:rsidRDefault="00CD0FD6" w:rsidP="00CD0FD6">
            <w:pPr>
              <w:numPr>
                <w:ilvl w:val="0"/>
                <w:numId w:val="1"/>
              </w:numPr>
              <w:autoSpaceDE w:val="0"/>
              <w:autoSpaceDN w:val="0"/>
              <w:adjustRightInd w:val="0"/>
              <w:spacing w:after="120"/>
              <w:ind w:left="175" w:hanging="142"/>
              <w:contextualSpacing/>
              <w:rPr>
                <w:rFonts w:eastAsia="Calibri" w:cs="Arial"/>
                <w:color w:val="000000"/>
                <w:sz w:val="22"/>
                <w:szCs w:val="22"/>
                <w:lang w:eastAsia="en-US"/>
              </w:rPr>
            </w:pPr>
            <w:r w:rsidRPr="00CD0FD6">
              <w:rPr>
                <w:rFonts w:eastAsia="Calibri" w:cs="Arial"/>
                <w:color w:val="000000"/>
                <w:sz w:val="22"/>
                <w:szCs w:val="22"/>
                <w:lang w:eastAsia="en-US"/>
              </w:rPr>
              <w:t>Member and officer attendance at LAPFF meetings in order to influence the Forum's agenda</w:t>
            </w:r>
          </w:p>
          <w:p w:rsidR="00BB062E" w:rsidRPr="004661BB" w:rsidRDefault="00BB062E" w:rsidP="00CD0FD6">
            <w:pPr>
              <w:autoSpaceDE w:val="0"/>
              <w:autoSpaceDN w:val="0"/>
              <w:adjustRightInd w:val="0"/>
              <w:spacing w:after="120"/>
              <w:ind w:left="360" w:hanging="360"/>
              <w:contextualSpacing/>
              <w:rPr>
                <w:rFonts w:eastAsia="Calibri" w:cs="Arial"/>
                <w:b/>
                <w:color w:val="000000"/>
              </w:rPr>
            </w:pPr>
          </w:p>
        </w:tc>
        <w:tc>
          <w:tcPr>
            <w:tcW w:w="928" w:type="pct"/>
            <w:tcBorders>
              <w:bottom w:val="nil"/>
            </w:tcBorders>
          </w:tcPr>
          <w:p w:rsidR="00BB062E" w:rsidRPr="00BB062E" w:rsidRDefault="00BB062E" w:rsidP="00BB062E">
            <w:pPr>
              <w:numPr>
                <w:ilvl w:val="0"/>
                <w:numId w:val="2"/>
              </w:numPr>
              <w:autoSpaceDE w:val="0"/>
              <w:autoSpaceDN w:val="0"/>
              <w:adjustRightInd w:val="0"/>
              <w:spacing w:after="120"/>
              <w:contextualSpacing/>
              <w:rPr>
                <w:rFonts w:eastAsia="Calibri" w:cs="Arial"/>
                <w:color w:val="000000"/>
                <w:sz w:val="22"/>
                <w:szCs w:val="22"/>
                <w:lang w:eastAsia="en-US"/>
              </w:rPr>
            </w:pPr>
            <w:r w:rsidRPr="00BB062E">
              <w:rPr>
                <w:rFonts w:eastAsia="Calibri" w:cs="Arial"/>
                <w:color w:val="000000"/>
                <w:sz w:val="22"/>
                <w:szCs w:val="22"/>
                <w:lang w:eastAsia="en-US"/>
              </w:rPr>
              <w:t>Regular attendance from June 2015.</w:t>
            </w:r>
          </w:p>
          <w:p w:rsidR="00BB062E" w:rsidRPr="00BB062E" w:rsidRDefault="00BB062E" w:rsidP="00BB062E">
            <w:pPr>
              <w:autoSpaceDE w:val="0"/>
              <w:autoSpaceDN w:val="0"/>
              <w:adjustRightInd w:val="0"/>
              <w:spacing w:after="120"/>
              <w:ind w:left="360"/>
              <w:contextualSpacing/>
              <w:jc w:val="both"/>
              <w:rPr>
                <w:rFonts w:eastAsia="Calibri" w:cs="Arial"/>
                <w:b/>
                <w:color w:val="000000"/>
              </w:rPr>
            </w:pPr>
          </w:p>
        </w:tc>
        <w:tc>
          <w:tcPr>
            <w:tcW w:w="1237" w:type="pct"/>
            <w:tcBorders>
              <w:bottom w:val="nil"/>
            </w:tcBorders>
          </w:tcPr>
          <w:p w:rsidR="00CD0FD6" w:rsidRPr="004661BB" w:rsidRDefault="00CD0FD6" w:rsidP="00CD0FD6">
            <w:pPr>
              <w:autoSpaceDE w:val="0"/>
              <w:autoSpaceDN w:val="0"/>
              <w:adjustRightInd w:val="0"/>
              <w:spacing w:after="120"/>
              <w:contextualSpacing/>
              <w:jc w:val="both"/>
              <w:rPr>
                <w:rFonts w:eastAsia="Calibri" w:cs="Arial"/>
                <w:color w:val="000000"/>
                <w:sz w:val="22"/>
                <w:szCs w:val="22"/>
              </w:rPr>
            </w:pPr>
            <w:r w:rsidRPr="004661BB">
              <w:rPr>
                <w:rFonts w:eastAsia="Calibri" w:cs="Arial"/>
                <w:color w:val="000000"/>
                <w:sz w:val="22"/>
                <w:szCs w:val="22"/>
              </w:rPr>
              <w:t>The service will need to be procured and LCPF is supporting the procurement process for a national framework for these services.</w:t>
            </w:r>
          </w:p>
          <w:p w:rsidR="00CD0FD6" w:rsidRPr="004661BB" w:rsidRDefault="00CD0FD6" w:rsidP="00CD0FD6">
            <w:pPr>
              <w:autoSpaceDE w:val="0"/>
              <w:autoSpaceDN w:val="0"/>
              <w:adjustRightInd w:val="0"/>
              <w:spacing w:after="120"/>
              <w:contextualSpacing/>
              <w:jc w:val="both"/>
              <w:rPr>
                <w:rFonts w:eastAsia="Calibri" w:cs="Arial"/>
                <w:color w:val="000000"/>
                <w:sz w:val="22"/>
                <w:szCs w:val="22"/>
              </w:rPr>
            </w:pPr>
          </w:p>
          <w:p w:rsidR="00CD0FD6" w:rsidRDefault="00CD0FD6" w:rsidP="00CD0FD6">
            <w:pPr>
              <w:autoSpaceDE w:val="0"/>
              <w:autoSpaceDN w:val="0"/>
              <w:adjustRightInd w:val="0"/>
              <w:spacing w:after="120"/>
              <w:contextualSpacing/>
              <w:jc w:val="both"/>
              <w:rPr>
                <w:rFonts w:eastAsia="Calibri" w:cs="Arial"/>
                <w:color w:val="000000"/>
                <w:sz w:val="22"/>
                <w:szCs w:val="22"/>
              </w:rPr>
            </w:pPr>
            <w:r w:rsidRPr="004661BB">
              <w:rPr>
                <w:rFonts w:eastAsia="Calibri" w:cs="Arial"/>
                <w:color w:val="000000"/>
                <w:sz w:val="22"/>
                <w:szCs w:val="22"/>
              </w:rPr>
              <w:t>Officers have begun attending the regular LAPFF Business Meetings.</w:t>
            </w:r>
          </w:p>
          <w:p w:rsidR="00CD0FD6" w:rsidRPr="004661BB" w:rsidRDefault="00CD0FD6" w:rsidP="00CD0FD6">
            <w:pPr>
              <w:autoSpaceDE w:val="0"/>
              <w:autoSpaceDN w:val="0"/>
              <w:adjustRightInd w:val="0"/>
              <w:spacing w:after="120"/>
              <w:contextualSpacing/>
              <w:jc w:val="both"/>
              <w:rPr>
                <w:rFonts w:eastAsia="Calibri" w:cs="Arial"/>
                <w:color w:val="000000"/>
                <w:sz w:val="22"/>
                <w:szCs w:val="22"/>
              </w:rPr>
            </w:pPr>
          </w:p>
          <w:p w:rsidR="00BB062E" w:rsidRPr="004661BB" w:rsidRDefault="00CD0FD6" w:rsidP="00CD0FD6">
            <w:pPr>
              <w:autoSpaceDE w:val="0"/>
              <w:autoSpaceDN w:val="0"/>
              <w:adjustRightInd w:val="0"/>
              <w:spacing w:after="120"/>
              <w:rPr>
                <w:rFonts w:eastAsia="Calibri" w:cs="Arial"/>
                <w:b/>
                <w:color w:val="000000"/>
              </w:rPr>
            </w:pPr>
            <w:r w:rsidRPr="004661BB">
              <w:rPr>
                <w:rFonts w:eastAsia="Calibri" w:cs="Arial"/>
                <w:color w:val="000000"/>
                <w:sz w:val="22"/>
                <w:szCs w:val="22"/>
              </w:rPr>
              <w:t>The costs of the officer taking a lead in this area are being shared with LPFA.</w:t>
            </w:r>
          </w:p>
        </w:tc>
      </w:tr>
      <w:tr w:rsidR="00BB062E" w:rsidRPr="004661BB" w:rsidTr="00CD0FD6">
        <w:tc>
          <w:tcPr>
            <w:tcW w:w="875" w:type="pct"/>
            <w:tcBorders>
              <w:top w:val="nil"/>
            </w:tcBorders>
          </w:tcPr>
          <w:p w:rsidR="00BB062E" w:rsidRPr="004661BB" w:rsidRDefault="00BB062E" w:rsidP="0079467F">
            <w:pPr>
              <w:autoSpaceDE w:val="0"/>
              <w:autoSpaceDN w:val="0"/>
              <w:adjustRightInd w:val="0"/>
              <w:spacing w:after="120"/>
              <w:rPr>
                <w:rFonts w:eastAsia="Calibri" w:cs="Arial"/>
                <w:color w:val="000000"/>
              </w:rPr>
            </w:pPr>
          </w:p>
        </w:tc>
        <w:tc>
          <w:tcPr>
            <w:tcW w:w="980" w:type="pct"/>
            <w:tcBorders>
              <w:top w:val="nil"/>
            </w:tcBorders>
          </w:tcPr>
          <w:p w:rsidR="00BB062E" w:rsidRPr="004661BB" w:rsidRDefault="00BB062E" w:rsidP="00A31E4B">
            <w:pPr>
              <w:autoSpaceDE w:val="0"/>
              <w:autoSpaceDN w:val="0"/>
              <w:adjustRightInd w:val="0"/>
              <w:spacing w:after="120"/>
              <w:ind w:left="179"/>
              <w:contextualSpacing/>
              <w:rPr>
                <w:rFonts w:eastAsia="Calibri" w:cs="Arial"/>
                <w:color w:val="000000"/>
              </w:rPr>
            </w:pPr>
          </w:p>
        </w:tc>
        <w:tc>
          <w:tcPr>
            <w:tcW w:w="980" w:type="pct"/>
            <w:tcBorders>
              <w:top w:val="nil"/>
            </w:tcBorders>
          </w:tcPr>
          <w:p w:rsidR="00BB062E" w:rsidRPr="004661BB" w:rsidRDefault="00BB062E" w:rsidP="00965320">
            <w:pPr>
              <w:autoSpaceDE w:val="0"/>
              <w:autoSpaceDN w:val="0"/>
              <w:adjustRightInd w:val="0"/>
              <w:spacing w:after="120"/>
              <w:ind w:left="175"/>
              <w:contextualSpacing/>
              <w:rPr>
                <w:rFonts w:eastAsia="Calibri" w:cs="Arial"/>
                <w:color w:val="000000"/>
              </w:rPr>
            </w:pPr>
          </w:p>
        </w:tc>
        <w:tc>
          <w:tcPr>
            <w:tcW w:w="928" w:type="pct"/>
            <w:tcBorders>
              <w:top w:val="nil"/>
            </w:tcBorders>
          </w:tcPr>
          <w:p w:rsidR="00BB062E" w:rsidRPr="004661BB" w:rsidRDefault="00BB062E" w:rsidP="0079467F">
            <w:pPr>
              <w:autoSpaceDE w:val="0"/>
              <w:autoSpaceDN w:val="0"/>
              <w:adjustRightInd w:val="0"/>
              <w:spacing w:after="120"/>
              <w:rPr>
                <w:rFonts w:eastAsia="Calibri" w:cs="Arial"/>
                <w:color w:val="000000"/>
              </w:rPr>
            </w:pPr>
          </w:p>
        </w:tc>
        <w:tc>
          <w:tcPr>
            <w:tcW w:w="1237" w:type="pct"/>
            <w:tcBorders>
              <w:top w:val="nil"/>
            </w:tcBorders>
          </w:tcPr>
          <w:p w:rsidR="00BB062E" w:rsidRPr="004661BB" w:rsidRDefault="00BB062E" w:rsidP="0079467F">
            <w:pPr>
              <w:autoSpaceDE w:val="0"/>
              <w:autoSpaceDN w:val="0"/>
              <w:adjustRightInd w:val="0"/>
              <w:spacing w:after="120"/>
              <w:rPr>
                <w:rFonts w:eastAsia="Calibri" w:cs="Arial"/>
                <w:color w:val="000000"/>
              </w:rPr>
            </w:pPr>
          </w:p>
        </w:tc>
      </w:tr>
    </w:tbl>
    <w:tbl>
      <w:tblPr>
        <w:tblStyle w:val="TableGrid2"/>
        <w:tblW w:w="0" w:type="auto"/>
        <w:tblLayout w:type="fixed"/>
        <w:tblLook w:val="04A0" w:firstRow="1" w:lastRow="0" w:firstColumn="1" w:lastColumn="0" w:noHBand="0" w:noVBand="1"/>
      </w:tblPr>
      <w:tblGrid>
        <w:gridCol w:w="2405"/>
        <w:gridCol w:w="2693"/>
        <w:gridCol w:w="2694"/>
        <w:gridCol w:w="2551"/>
        <w:gridCol w:w="3402"/>
      </w:tblGrid>
      <w:tr w:rsidR="00422E4F" w:rsidRPr="004661BB" w:rsidTr="000330C7">
        <w:tc>
          <w:tcPr>
            <w:tcW w:w="2405" w:type="dxa"/>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Develop a more structured approach to assessing the risks to the Fund posed by individual employers and identify appropriate asset allocations to reduce the risk to the Fund.</w:t>
            </w:r>
          </w:p>
        </w:tc>
        <w:tc>
          <w:tcPr>
            <w:tcW w:w="2693" w:type="dxa"/>
          </w:tcPr>
          <w:p w:rsidR="00422E4F" w:rsidRPr="004661BB" w:rsidRDefault="00422E4F" w:rsidP="00471C0A">
            <w:pPr>
              <w:numPr>
                <w:ilvl w:val="0"/>
                <w:numId w:val="3"/>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Undertake formal covenant reviews for each employer in the Fund.</w:t>
            </w:r>
          </w:p>
          <w:p w:rsidR="00422E4F" w:rsidRPr="004661BB" w:rsidRDefault="00422E4F" w:rsidP="00471C0A">
            <w:pPr>
              <w:numPr>
                <w:ilvl w:val="0"/>
                <w:numId w:val="3"/>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Review and assess the potential risks from the results.</w:t>
            </w:r>
          </w:p>
          <w:p w:rsidR="00422E4F" w:rsidRPr="004661BB" w:rsidRDefault="00422E4F" w:rsidP="00471C0A">
            <w:pPr>
              <w:numPr>
                <w:ilvl w:val="0"/>
                <w:numId w:val="3"/>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 xml:space="preserve">Identify appropriate asset allocations for different risk categories of employer to feed into 2016 post valuation Investment Strategy update. </w:t>
            </w:r>
          </w:p>
        </w:tc>
        <w:tc>
          <w:tcPr>
            <w:tcW w:w="2694" w:type="dxa"/>
          </w:tcPr>
          <w:p w:rsidR="00422E4F" w:rsidRPr="004661BB" w:rsidRDefault="00422E4F" w:rsidP="00422E4F">
            <w:pPr>
              <w:numPr>
                <w:ilvl w:val="0"/>
                <w:numId w:val="3"/>
              </w:numPr>
              <w:autoSpaceDE w:val="0"/>
              <w:autoSpaceDN w:val="0"/>
              <w:adjustRightInd w:val="0"/>
              <w:spacing w:after="120"/>
              <w:contextualSpacing/>
              <w:jc w:val="both"/>
              <w:rPr>
                <w:rFonts w:eastAsia="Calibri" w:cs="Arial"/>
                <w:color w:val="000000"/>
                <w:sz w:val="22"/>
                <w:szCs w:val="22"/>
              </w:rPr>
            </w:pPr>
            <w:r w:rsidRPr="004661BB">
              <w:rPr>
                <w:rFonts w:eastAsia="Calibri" w:cs="Arial"/>
                <w:color w:val="000000"/>
                <w:sz w:val="22"/>
                <w:szCs w:val="22"/>
              </w:rPr>
              <w:t>Stratification of the whole employer base according to the risk posed to the Fund.</w:t>
            </w:r>
          </w:p>
          <w:p w:rsidR="00422E4F" w:rsidRPr="004661BB" w:rsidRDefault="00422E4F" w:rsidP="00422E4F">
            <w:pPr>
              <w:numPr>
                <w:ilvl w:val="0"/>
                <w:numId w:val="3"/>
              </w:numPr>
              <w:autoSpaceDE w:val="0"/>
              <w:autoSpaceDN w:val="0"/>
              <w:adjustRightInd w:val="0"/>
              <w:spacing w:after="120"/>
              <w:contextualSpacing/>
              <w:jc w:val="both"/>
              <w:rPr>
                <w:rFonts w:eastAsia="Calibri" w:cs="Arial"/>
                <w:color w:val="000000"/>
                <w:sz w:val="22"/>
                <w:szCs w:val="22"/>
              </w:rPr>
            </w:pPr>
            <w:r w:rsidRPr="004661BB">
              <w:rPr>
                <w:rFonts w:eastAsia="Calibri" w:cs="Arial"/>
                <w:color w:val="000000"/>
                <w:sz w:val="22"/>
                <w:szCs w:val="22"/>
              </w:rPr>
              <w:t>Allocation of each strata of employer to a specific asset mix.</w:t>
            </w:r>
          </w:p>
        </w:tc>
        <w:tc>
          <w:tcPr>
            <w:tcW w:w="2551" w:type="dxa"/>
          </w:tcPr>
          <w:p w:rsidR="00422E4F" w:rsidRPr="004661BB" w:rsidRDefault="00422E4F" w:rsidP="00471C0A">
            <w:pPr>
              <w:numPr>
                <w:ilvl w:val="0"/>
                <w:numId w:val="3"/>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Covenant reviews completed by May 2016.</w:t>
            </w:r>
          </w:p>
          <w:p w:rsidR="00422E4F" w:rsidRPr="004661BB" w:rsidRDefault="00422E4F" w:rsidP="00471C0A">
            <w:pPr>
              <w:numPr>
                <w:ilvl w:val="0"/>
                <w:numId w:val="3"/>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Revised asset allocations agreed alongside the valuation process by February 2017.</w:t>
            </w:r>
          </w:p>
        </w:tc>
        <w:tc>
          <w:tcPr>
            <w:tcW w:w="3402" w:type="dxa"/>
          </w:tcPr>
          <w:p w:rsidR="00422E4F" w:rsidRDefault="00677922" w:rsidP="00471C0A">
            <w:p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 xml:space="preserve">Data gathering for covenant reviews currently being undertaken. </w:t>
            </w:r>
          </w:p>
          <w:p w:rsidR="00E13239" w:rsidRPr="004661BB" w:rsidRDefault="00E13239" w:rsidP="00471C0A">
            <w:pPr>
              <w:autoSpaceDE w:val="0"/>
              <w:autoSpaceDN w:val="0"/>
              <w:adjustRightInd w:val="0"/>
              <w:spacing w:after="120"/>
              <w:contextualSpacing/>
              <w:rPr>
                <w:rFonts w:eastAsia="Calibri" w:cs="Arial"/>
                <w:color w:val="000000"/>
                <w:sz w:val="22"/>
                <w:szCs w:val="22"/>
              </w:rPr>
            </w:pPr>
          </w:p>
          <w:p w:rsidR="00677922" w:rsidRPr="004661BB" w:rsidRDefault="00677922" w:rsidP="00471C0A">
            <w:p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 xml:space="preserve">PFC agreed to consult on use of results within the valuation at its September 2015 meeting. </w:t>
            </w:r>
          </w:p>
        </w:tc>
      </w:tr>
      <w:tr w:rsidR="000330C7" w:rsidRPr="004661BB" w:rsidTr="00471C0A">
        <w:trPr>
          <w:trHeight w:val="1125"/>
        </w:trPr>
        <w:tc>
          <w:tcPr>
            <w:tcW w:w="2405" w:type="dxa"/>
            <w:vAlign w:val="center"/>
          </w:tcPr>
          <w:p w:rsidR="000330C7" w:rsidRPr="004661BB" w:rsidRDefault="000330C7" w:rsidP="00471C0A">
            <w:pPr>
              <w:autoSpaceDE w:val="0"/>
              <w:autoSpaceDN w:val="0"/>
              <w:adjustRightInd w:val="0"/>
              <w:spacing w:after="120"/>
              <w:rPr>
                <w:rFonts w:eastAsia="Calibri" w:cs="Arial"/>
                <w:b/>
                <w:color w:val="000000"/>
                <w:sz w:val="22"/>
                <w:szCs w:val="22"/>
              </w:rPr>
            </w:pPr>
            <w:r w:rsidRPr="004661BB">
              <w:rPr>
                <w:rFonts w:eastAsia="Calibri" w:cs="Arial"/>
                <w:b/>
                <w:color w:val="000000"/>
                <w:sz w:val="22"/>
                <w:szCs w:val="22"/>
              </w:rPr>
              <w:t>ACTION</w:t>
            </w:r>
          </w:p>
        </w:tc>
        <w:tc>
          <w:tcPr>
            <w:tcW w:w="2693" w:type="dxa"/>
          </w:tcPr>
          <w:p w:rsidR="000330C7" w:rsidRPr="004661BB" w:rsidRDefault="000330C7" w:rsidP="0079467F">
            <w:pPr>
              <w:autoSpaceDE w:val="0"/>
              <w:autoSpaceDN w:val="0"/>
              <w:adjustRightInd w:val="0"/>
              <w:spacing w:after="120"/>
              <w:contextualSpacing/>
              <w:rPr>
                <w:rFonts w:eastAsia="Calibri" w:cs="Arial"/>
                <w:b/>
                <w:color w:val="000000"/>
                <w:sz w:val="22"/>
                <w:szCs w:val="22"/>
              </w:rPr>
            </w:pPr>
          </w:p>
          <w:p w:rsidR="000330C7" w:rsidRPr="004661BB" w:rsidRDefault="000330C7" w:rsidP="0079467F">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2694" w:type="dxa"/>
          </w:tcPr>
          <w:p w:rsidR="000330C7" w:rsidRPr="004661BB" w:rsidRDefault="000330C7" w:rsidP="0079467F">
            <w:pPr>
              <w:autoSpaceDE w:val="0"/>
              <w:autoSpaceDN w:val="0"/>
              <w:adjustRightInd w:val="0"/>
              <w:spacing w:after="120"/>
              <w:ind w:left="360"/>
              <w:contextualSpacing/>
              <w:jc w:val="center"/>
              <w:rPr>
                <w:rFonts w:eastAsia="Calibri" w:cs="Arial"/>
                <w:b/>
                <w:color w:val="000000"/>
                <w:sz w:val="22"/>
                <w:szCs w:val="22"/>
              </w:rPr>
            </w:pPr>
            <w:r w:rsidRPr="004661BB">
              <w:rPr>
                <w:rFonts w:eastAsia="Calibri" w:cs="Arial"/>
                <w:b/>
                <w:color w:val="000000"/>
                <w:sz w:val="22"/>
                <w:szCs w:val="22"/>
              </w:rPr>
              <w:t>HOW WILL SUCCESS BE MEASURED?</w:t>
            </w:r>
          </w:p>
        </w:tc>
        <w:tc>
          <w:tcPr>
            <w:tcW w:w="2551" w:type="dxa"/>
            <w:vAlign w:val="center"/>
          </w:tcPr>
          <w:p w:rsidR="000330C7" w:rsidRPr="004661BB" w:rsidRDefault="000330C7" w:rsidP="00471C0A">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TIMESCALE</w:t>
            </w:r>
          </w:p>
        </w:tc>
        <w:tc>
          <w:tcPr>
            <w:tcW w:w="3402" w:type="dxa"/>
          </w:tcPr>
          <w:p w:rsidR="00471C0A" w:rsidRDefault="00471C0A" w:rsidP="0079467F">
            <w:pPr>
              <w:autoSpaceDE w:val="0"/>
              <w:autoSpaceDN w:val="0"/>
              <w:adjustRightInd w:val="0"/>
              <w:spacing w:after="120"/>
              <w:jc w:val="center"/>
              <w:rPr>
                <w:rFonts w:eastAsia="Calibri" w:cs="Arial"/>
                <w:b/>
                <w:color w:val="000000"/>
                <w:sz w:val="22"/>
                <w:szCs w:val="22"/>
              </w:rPr>
            </w:pPr>
          </w:p>
          <w:p w:rsidR="000330C7" w:rsidRPr="004661BB" w:rsidRDefault="000330C7"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PROGRESS AT END SEPT 2015</w:t>
            </w:r>
          </w:p>
        </w:tc>
      </w:tr>
      <w:tr w:rsidR="00422E4F" w:rsidRPr="004661BB" w:rsidTr="00471C0A">
        <w:tc>
          <w:tcPr>
            <w:tcW w:w="2405" w:type="dxa"/>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Completion of the 2016 Actuarial Valuation and identification of changes, if any, required in the Investment Strategy</w:t>
            </w:r>
          </w:p>
        </w:tc>
        <w:tc>
          <w:tcPr>
            <w:tcW w:w="2693" w:type="dxa"/>
            <w:vAlign w:val="center"/>
          </w:tcPr>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Provision of data to the Actuary at individual member level.</w:t>
            </w:r>
          </w:p>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Agreement of key assumptions with the Actuary by the PFC</w:t>
            </w:r>
          </w:p>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 xml:space="preserve">Engagement with employers on an ongoing basis throughout the process, but particularly as results become available. </w:t>
            </w:r>
          </w:p>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Review of Investment Strategy in light of results.</w:t>
            </w:r>
          </w:p>
        </w:tc>
        <w:tc>
          <w:tcPr>
            <w:tcW w:w="2694" w:type="dxa"/>
            <w:vAlign w:val="center"/>
          </w:tcPr>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Maintenance of stable contribution rates.</w:t>
            </w:r>
          </w:p>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Actuary's assessment of the quality of the data provided.</w:t>
            </w:r>
          </w:p>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Adoption of revised Investment Strategy by PFC</w:t>
            </w:r>
          </w:p>
        </w:tc>
        <w:tc>
          <w:tcPr>
            <w:tcW w:w="2551" w:type="dxa"/>
            <w:vAlign w:val="center"/>
          </w:tcPr>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Provision of data from April 2016.</w:t>
            </w:r>
          </w:p>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 xml:space="preserve">Agreement of assumptions by PFC </w:t>
            </w:r>
            <w:proofErr w:type="spellStart"/>
            <w:proofErr w:type="gramStart"/>
            <w:r w:rsidRPr="004661BB">
              <w:rPr>
                <w:rFonts w:eastAsia="Calibri" w:cs="Arial"/>
                <w:color w:val="000000"/>
                <w:sz w:val="22"/>
                <w:szCs w:val="22"/>
              </w:rPr>
              <w:t>tbd</w:t>
            </w:r>
            <w:proofErr w:type="spellEnd"/>
            <w:proofErr w:type="gramEnd"/>
            <w:r w:rsidRPr="004661BB">
              <w:rPr>
                <w:rFonts w:eastAsia="Calibri" w:cs="Arial"/>
                <w:color w:val="000000"/>
                <w:sz w:val="22"/>
                <w:szCs w:val="22"/>
              </w:rPr>
              <w:t xml:space="preserve"> in line with Actuary's timetable.</w:t>
            </w:r>
          </w:p>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 xml:space="preserve">Feedback of results from September 2016. </w:t>
            </w:r>
          </w:p>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Revised Investment Strategy to PFC Feb / March 2017.</w:t>
            </w:r>
          </w:p>
          <w:p w:rsidR="00422E4F" w:rsidRPr="004661BB" w:rsidRDefault="00422E4F" w:rsidP="00471C0A">
            <w:pPr>
              <w:numPr>
                <w:ilvl w:val="0"/>
                <w:numId w:val="7"/>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Implementation of revised Rates and Adjustments Certificate from April 2017.</w:t>
            </w:r>
          </w:p>
        </w:tc>
        <w:tc>
          <w:tcPr>
            <w:tcW w:w="3402" w:type="dxa"/>
            <w:vAlign w:val="center"/>
          </w:tcPr>
          <w:p w:rsidR="00422E4F" w:rsidRPr="004661BB" w:rsidRDefault="00677922" w:rsidP="00471C0A">
            <w:p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Planning commenced and initial consultation on the framework and key assumptions agreed by the PFC in September 2015.</w:t>
            </w:r>
          </w:p>
        </w:tc>
      </w:tr>
      <w:tr w:rsidR="00422E4F" w:rsidRPr="004661BB" w:rsidTr="00471C0A">
        <w:tc>
          <w:tcPr>
            <w:tcW w:w="2405" w:type="dxa"/>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Continue to explore the potential opportunities arising from collaboration with other Funds within both Local Government Pension Scheme, and wider Pension Fund community</w:t>
            </w:r>
          </w:p>
          <w:p w:rsidR="00422E4F" w:rsidRPr="004661BB" w:rsidRDefault="00422E4F" w:rsidP="00422E4F">
            <w:pPr>
              <w:autoSpaceDE w:val="0"/>
              <w:autoSpaceDN w:val="0"/>
              <w:adjustRightInd w:val="0"/>
              <w:spacing w:after="120"/>
              <w:rPr>
                <w:rFonts w:eastAsia="Calibri" w:cs="Arial"/>
                <w:color w:val="000000"/>
                <w:sz w:val="22"/>
                <w:szCs w:val="22"/>
              </w:rPr>
            </w:pPr>
          </w:p>
        </w:tc>
        <w:tc>
          <w:tcPr>
            <w:tcW w:w="2693" w:type="dxa"/>
            <w:vAlign w:val="center"/>
          </w:tcPr>
          <w:p w:rsidR="00422E4F" w:rsidRPr="004661BB" w:rsidRDefault="00422E4F" w:rsidP="00471C0A">
            <w:pPr>
              <w:numPr>
                <w:ilvl w:val="0"/>
                <w:numId w:val="6"/>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Finalise discussions with the LPFA on the benefits of pooling investments.</w:t>
            </w:r>
          </w:p>
          <w:p w:rsidR="00422E4F" w:rsidRPr="004661BB" w:rsidRDefault="00422E4F" w:rsidP="00471C0A">
            <w:pPr>
              <w:numPr>
                <w:ilvl w:val="0"/>
                <w:numId w:val="6"/>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Identify other potential opportunities either to share expertise with other funds or to make appropriate investments alongside each other.</w:t>
            </w:r>
          </w:p>
        </w:tc>
        <w:tc>
          <w:tcPr>
            <w:tcW w:w="2694" w:type="dxa"/>
            <w:vAlign w:val="center"/>
          </w:tcPr>
          <w:p w:rsidR="00422E4F" w:rsidRPr="004661BB" w:rsidRDefault="00422E4F" w:rsidP="00471C0A">
            <w:pPr>
              <w:numPr>
                <w:ilvl w:val="0"/>
                <w:numId w:val="6"/>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Decision on the ALM Partnership with LPFA.</w:t>
            </w:r>
          </w:p>
          <w:p w:rsidR="00422E4F" w:rsidRPr="004661BB" w:rsidRDefault="00422E4F" w:rsidP="00471C0A">
            <w:pPr>
              <w:numPr>
                <w:ilvl w:val="0"/>
                <w:numId w:val="6"/>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Opportunities identified and taken through to conclusion and then reported to PFC by the Investment Panel.</w:t>
            </w:r>
          </w:p>
        </w:tc>
        <w:tc>
          <w:tcPr>
            <w:tcW w:w="2551" w:type="dxa"/>
            <w:vAlign w:val="center"/>
          </w:tcPr>
          <w:p w:rsidR="00422E4F" w:rsidRPr="004661BB" w:rsidRDefault="00422E4F" w:rsidP="00471C0A">
            <w:pPr>
              <w:numPr>
                <w:ilvl w:val="0"/>
                <w:numId w:val="6"/>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Partnership Decision July 2015.</w:t>
            </w:r>
          </w:p>
          <w:p w:rsidR="00422E4F" w:rsidRPr="004661BB" w:rsidRDefault="00422E4F" w:rsidP="00471C0A">
            <w:pPr>
              <w:numPr>
                <w:ilvl w:val="0"/>
                <w:numId w:val="6"/>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Other opportunities and investments ongoing.</w:t>
            </w:r>
          </w:p>
        </w:tc>
        <w:tc>
          <w:tcPr>
            <w:tcW w:w="3402" w:type="dxa"/>
            <w:vAlign w:val="center"/>
          </w:tcPr>
          <w:p w:rsidR="00422E4F" w:rsidRPr="004661BB" w:rsidRDefault="00677922" w:rsidP="00471C0A">
            <w:p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Decision to commit resource to the establishment of the LLPP made by PFC on 2</w:t>
            </w:r>
            <w:r w:rsidRPr="004661BB">
              <w:rPr>
                <w:rFonts w:eastAsia="Calibri" w:cs="Arial"/>
                <w:color w:val="000000"/>
                <w:sz w:val="22"/>
                <w:szCs w:val="22"/>
                <w:vertAlign w:val="superscript"/>
              </w:rPr>
              <w:t>nd</w:t>
            </w:r>
            <w:r w:rsidRPr="004661BB">
              <w:rPr>
                <w:rFonts w:eastAsia="Calibri" w:cs="Arial"/>
                <w:color w:val="000000"/>
                <w:sz w:val="22"/>
                <w:szCs w:val="22"/>
              </w:rPr>
              <w:t xml:space="preserve"> July 2015. Project is progressing to plan.</w:t>
            </w:r>
          </w:p>
          <w:p w:rsidR="00677922" w:rsidRPr="004661BB" w:rsidRDefault="00677922" w:rsidP="00471C0A">
            <w:p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The Investment Team continue to look for projects which might be suitable for LGPS club type investment.</w:t>
            </w:r>
          </w:p>
        </w:tc>
      </w:tr>
      <w:tr w:rsidR="000330C7" w:rsidRPr="004661BB" w:rsidTr="00471C0A">
        <w:trPr>
          <w:trHeight w:val="1125"/>
        </w:trPr>
        <w:tc>
          <w:tcPr>
            <w:tcW w:w="2405" w:type="dxa"/>
            <w:vAlign w:val="center"/>
          </w:tcPr>
          <w:p w:rsidR="000330C7" w:rsidRPr="004661BB" w:rsidRDefault="000330C7" w:rsidP="00471C0A">
            <w:pPr>
              <w:autoSpaceDE w:val="0"/>
              <w:autoSpaceDN w:val="0"/>
              <w:adjustRightInd w:val="0"/>
              <w:spacing w:after="120"/>
              <w:rPr>
                <w:rFonts w:eastAsia="Calibri" w:cs="Arial"/>
                <w:b/>
                <w:color w:val="000000"/>
                <w:sz w:val="22"/>
                <w:szCs w:val="22"/>
              </w:rPr>
            </w:pPr>
            <w:r w:rsidRPr="004661BB">
              <w:rPr>
                <w:rFonts w:eastAsia="Calibri" w:cs="Arial"/>
                <w:b/>
                <w:color w:val="000000"/>
                <w:sz w:val="22"/>
                <w:szCs w:val="22"/>
              </w:rPr>
              <w:t>ACTION</w:t>
            </w:r>
          </w:p>
        </w:tc>
        <w:tc>
          <w:tcPr>
            <w:tcW w:w="2693" w:type="dxa"/>
            <w:vAlign w:val="center"/>
          </w:tcPr>
          <w:p w:rsidR="000330C7" w:rsidRPr="004661BB" w:rsidRDefault="000330C7" w:rsidP="00471C0A">
            <w:pPr>
              <w:autoSpaceDE w:val="0"/>
              <w:autoSpaceDN w:val="0"/>
              <w:adjustRightInd w:val="0"/>
              <w:spacing w:after="120"/>
              <w:contextualSpacing/>
              <w:rPr>
                <w:rFonts w:eastAsia="Calibri" w:cs="Arial"/>
                <w:b/>
                <w:color w:val="000000"/>
                <w:sz w:val="22"/>
                <w:szCs w:val="22"/>
              </w:rPr>
            </w:pPr>
          </w:p>
          <w:p w:rsidR="000330C7" w:rsidRPr="004661BB" w:rsidRDefault="000330C7" w:rsidP="00471C0A">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2694" w:type="dxa"/>
            <w:vAlign w:val="center"/>
          </w:tcPr>
          <w:p w:rsidR="000330C7" w:rsidRPr="004661BB" w:rsidRDefault="000330C7" w:rsidP="00471C0A">
            <w:pPr>
              <w:autoSpaceDE w:val="0"/>
              <w:autoSpaceDN w:val="0"/>
              <w:adjustRightInd w:val="0"/>
              <w:spacing w:after="120"/>
              <w:ind w:left="360"/>
              <w:contextualSpacing/>
              <w:rPr>
                <w:rFonts w:eastAsia="Calibri" w:cs="Arial"/>
                <w:b/>
                <w:color w:val="000000"/>
                <w:sz w:val="22"/>
                <w:szCs w:val="22"/>
              </w:rPr>
            </w:pPr>
            <w:r w:rsidRPr="004661BB">
              <w:rPr>
                <w:rFonts w:eastAsia="Calibri" w:cs="Arial"/>
                <w:b/>
                <w:color w:val="000000"/>
                <w:sz w:val="22"/>
                <w:szCs w:val="22"/>
              </w:rPr>
              <w:t>HOW WILL SUCCESS BE MEASURED?</w:t>
            </w:r>
          </w:p>
        </w:tc>
        <w:tc>
          <w:tcPr>
            <w:tcW w:w="2551" w:type="dxa"/>
            <w:vAlign w:val="center"/>
          </w:tcPr>
          <w:p w:rsidR="000330C7" w:rsidRPr="004661BB" w:rsidRDefault="000330C7" w:rsidP="00471C0A">
            <w:pPr>
              <w:autoSpaceDE w:val="0"/>
              <w:autoSpaceDN w:val="0"/>
              <w:adjustRightInd w:val="0"/>
              <w:spacing w:after="120"/>
              <w:rPr>
                <w:rFonts w:eastAsia="Calibri" w:cs="Arial"/>
                <w:b/>
                <w:color w:val="000000"/>
                <w:sz w:val="22"/>
                <w:szCs w:val="22"/>
              </w:rPr>
            </w:pPr>
            <w:r w:rsidRPr="004661BB">
              <w:rPr>
                <w:rFonts w:eastAsia="Calibri" w:cs="Arial"/>
                <w:b/>
                <w:color w:val="000000"/>
                <w:sz w:val="22"/>
                <w:szCs w:val="22"/>
              </w:rPr>
              <w:t>TIMESCALE</w:t>
            </w:r>
          </w:p>
        </w:tc>
        <w:tc>
          <w:tcPr>
            <w:tcW w:w="3402" w:type="dxa"/>
            <w:vAlign w:val="center"/>
          </w:tcPr>
          <w:p w:rsidR="000330C7" w:rsidRPr="004661BB" w:rsidRDefault="000330C7" w:rsidP="00471C0A">
            <w:pPr>
              <w:autoSpaceDE w:val="0"/>
              <w:autoSpaceDN w:val="0"/>
              <w:adjustRightInd w:val="0"/>
              <w:spacing w:after="120"/>
              <w:rPr>
                <w:rFonts w:eastAsia="Calibri" w:cs="Arial"/>
                <w:b/>
                <w:color w:val="000000"/>
                <w:sz w:val="22"/>
                <w:szCs w:val="22"/>
              </w:rPr>
            </w:pPr>
            <w:r w:rsidRPr="004661BB">
              <w:rPr>
                <w:rFonts w:eastAsia="Calibri" w:cs="Arial"/>
                <w:b/>
                <w:color w:val="000000"/>
                <w:sz w:val="22"/>
                <w:szCs w:val="22"/>
              </w:rPr>
              <w:t>PROGRESS AT END SEPT 2015</w:t>
            </w:r>
          </w:p>
        </w:tc>
      </w:tr>
      <w:tr w:rsidR="00422E4F" w:rsidRPr="004661BB" w:rsidTr="00471C0A">
        <w:tc>
          <w:tcPr>
            <w:tcW w:w="2405" w:type="dxa"/>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Review and update of the 5 asset class investment strategies in order to ensure that they remain relevant to both the needs of the Fund and deliverable within market constraints.</w:t>
            </w:r>
          </w:p>
        </w:tc>
        <w:tc>
          <w:tcPr>
            <w:tcW w:w="2693" w:type="dxa"/>
            <w:vAlign w:val="center"/>
          </w:tcPr>
          <w:p w:rsidR="00422E4F" w:rsidRPr="004661BB" w:rsidRDefault="00422E4F" w:rsidP="00471C0A">
            <w:pPr>
              <w:numPr>
                <w:ilvl w:val="0"/>
                <w:numId w:val="4"/>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Formal review of progress against and the continuing relevance of each strategy by the Investment Panel.</w:t>
            </w:r>
          </w:p>
          <w:p w:rsidR="00422E4F" w:rsidRPr="004661BB" w:rsidRDefault="00422E4F" w:rsidP="00471C0A">
            <w:pPr>
              <w:numPr>
                <w:ilvl w:val="0"/>
                <w:numId w:val="4"/>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Commissioning of revised strategies by the Investment Panel.</w:t>
            </w:r>
          </w:p>
          <w:p w:rsidR="00422E4F" w:rsidRPr="004661BB" w:rsidRDefault="00422E4F" w:rsidP="00471C0A">
            <w:pPr>
              <w:numPr>
                <w:ilvl w:val="0"/>
                <w:numId w:val="4"/>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Consideration and approval of revised strategies by PFC.</w:t>
            </w:r>
          </w:p>
        </w:tc>
        <w:tc>
          <w:tcPr>
            <w:tcW w:w="2694" w:type="dxa"/>
            <w:vAlign w:val="center"/>
          </w:tcPr>
          <w:p w:rsidR="00422E4F" w:rsidRPr="004661BB" w:rsidRDefault="00422E4F" w:rsidP="00471C0A">
            <w:pPr>
              <w:numPr>
                <w:ilvl w:val="0"/>
                <w:numId w:val="4"/>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Approval of proposals for change by  PFC.</w:t>
            </w:r>
          </w:p>
          <w:p w:rsidR="00422E4F" w:rsidRPr="004661BB" w:rsidRDefault="00422E4F" w:rsidP="00471C0A">
            <w:pPr>
              <w:numPr>
                <w:ilvl w:val="0"/>
                <w:numId w:val="4"/>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Achievement of target returns (and levels of volatility) by investments selected under the strategies.</w:t>
            </w:r>
          </w:p>
          <w:p w:rsidR="00422E4F" w:rsidRPr="004661BB" w:rsidRDefault="00422E4F" w:rsidP="00471C0A">
            <w:pPr>
              <w:autoSpaceDE w:val="0"/>
              <w:autoSpaceDN w:val="0"/>
              <w:adjustRightInd w:val="0"/>
              <w:spacing w:after="120"/>
              <w:ind w:left="360"/>
              <w:contextualSpacing/>
              <w:rPr>
                <w:rFonts w:eastAsia="Calibri" w:cs="Arial"/>
                <w:color w:val="000000"/>
                <w:sz w:val="22"/>
                <w:szCs w:val="22"/>
              </w:rPr>
            </w:pPr>
          </w:p>
        </w:tc>
        <w:tc>
          <w:tcPr>
            <w:tcW w:w="2551" w:type="dxa"/>
            <w:vAlign w:val="center"/>
          </w:tcPr>
          <w:p w:rsidR="00422E4F" w:rsidRPr="004661BB" w:rsidRDefault="00422E4F" w:rsidP="00471C0A">
            <w:pPr>
              <w:numPr>
                <w:ilvl w:val="0"/>
                <w:numId w:val="4"/>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Infrastructure Strategy for formal approval June 2015.</w:t>
            </w:r>
          </w:p>
          <w:p w:rsidR="00422E4F" w:rsidRPr="004661BB" w:rsidRDefault="00422E4F" w:rsidP="00471C0A">
            <w:pPr>
              <w:numPr>
                <w:ilvl w:val="0"/>
                <w:numId w:val="4"/>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Equity and Private Equity to go to PFC during 2015/16</w:t>
            </w:r>
          </w:p>
          <w:p w:rsidR="00422E4F" w:rsidRPr="004661BB" w:rsidRDefault="00422E4F" w:rsidP="00471C0A">
            <w:pPr>
              <w:numPr>
                <w:ilvl w:val="0"/>
                <w:numId w:val="4"/>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Property and Credit Strategies to go to PFC during 2016/17.</w:t>
            </w:r>
          </w:p>
          <w:p w:rsidR="00422E4F" w:rsidRPr="004661BB" w:rsidRDefault="00422E4F" w:rsidP="00471C0A">
            <w:pPr>
              <w:numPr>
                <w:ilvl w:val="0"/>
                <w:numId w:val="4"/>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Infrastructure to go to PFC following review during 2017/18.</w:t>
            </w:r>
          </w:p>
        </w:tc>
        <w:tc>
          <w:tcPr>
            <w:tcW w:w="3402" w:type="dxa"/>
            <w:vAlign w:val="center"/>
          </w:tcPr>
          <w:p w:rsidR="00422E4F" w:rsidRPr="004661BB" w:rsidRDefault="00677922" w:rsidP="00471C0A">
            <w:p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 xml:space="preserve">A consolidated strategy reflecting the fact that assets will largely be held within the LLPP structure will need to come to the PFC in quarter 1 of 2016. </w:t>
            </w:r>
          </w:p>
        </w:tc>
      </w:tr>
      <w:tr w:rsidR="00422E4F" w:rsidRPr="004661BB" w:rsidTr="00471C0A">
        <w:tc>
          <w:tcPr>
            <w:tcW w:w="2405" w:type="dxa"/>
            <w:tcBorders>
              <w:bottom w:val="nil"/>
            </w:tcBorders>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Development and implementation of a Liability Management Strategy</w:t>
            </w:r>
          </w:p>
        </w:tc>
        <w:tc>
          <w:tcPr>
            <w:tcW w:w="2693" w:type="dxa"/>
            <w:tcBorders>
              <w:bottom w:val="nil"/>
            </w:tcBorders>
            <w:vAlign w:val="center"/>
          </w:tcPr>
          <w:p w:rsidR="00422E4F" w:rsidRPr="004661BB" w:rsidRDefault="00422E4F" w:rsidP="00471C0A">
            <w:pPr>
              <w:numPr>
                <w:ilvl w:val="0"/>
                <w:numId w:val="5"/>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Agreement by Investment Panel and PFC on the degree to which the Fund should seek to manage its liabilities.</w:t>
            </w:r>
          </w:p>
          <w:p w:rsidR="00422E4F" w:rsidRPr="004661BB" w:rsidRDefault="00422E4F" w:rsidP="00471C0A">
            <w:pPr>
              <w:numPr>
                <w:ilvl w:val="0"/>
                <w:numId w:val="5"/>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Adoption and implementation of approved strategy, including the appointment of any fund managers required.</w:t>
            </w:r>
          </w:p>
        </w:tc>
        <w:tc>
          <w:tcPr>
            <w:tcW w:w="2694" w:type="dxa"/>
            <w:tcBorders>
              <w:bottom w:val="nil"/>
            </w:tcBorders>
            <w:vAlign w:val="center"/>
          </w:tcPr>
          <w:p w:rsidR="00422E4F" w:rsidRPr="004661BB" w:rsidRDefault="00422E4F" w:rsidP="00471C0A">
            <w:pPr>
              <w:numPr>
                <w:ilvl w:val="0"/>
                <w:numId w:val="5"/>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Adoption of agreed strategy by PFC.</w:t>
            </w:r>
          </w:p>
          <w:p w:rsidR="00422E4F" w:rsidRPr="004661BB" w:rsidRDefault="00422E4F" w:rsidP="00471C0A">
            <w:pPr>
              <w:numPr>
                <w:ilvl w:val="0"/>
                <w:numId w:val="5"/>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Impact on the scale of the Fund's risk exposure specifically to:</w:t>
            </w:r>
          </w:p>
          <w:p w:rsidR="00422E4F" w:rsidRPr="004661BB" w:rsidRDefault="00422E4F" w:rsidP="00471C0A">
            <w:pPr>
              <w:numPr>
                <w:ilvl w:val="1"/>
                <w:numId w:val="5"/>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Long term interest rates</w:t>
            </w:r>
          </w:p>
          <w:p w:rsidR="00422E4F" w:rsidRPr="004661BB" w:rsidRDefault="00422E4F" w:rsidP="00471C0A">
            <w:pPr>
              <w:numPr>
                <w:ilvl w:val="1"/>
                <w:numId w:val="5"/>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Inflation</w:t>
            </w:r>
          </w:p>
        </w:tc>
        <w:tc>
          <w:tcPr>
            <w:tcW w:w="2551" w:type="dxa"/>
            <w:tcBorders>
              <w:bottom w:val="nil"/>
            </w:tcBorders>
            <w:vAlign w:val="center"/>
          </w:tcPr>
          <w:p w:rsidR="00422E4F" w:rsidRPr="004661BB" w:rsidRDefault="00422E4F" w:rsidP="00471C0A">
            <w:pPr>
              <w:numPr>
                <w:ilvl w:val="0"/>
                <w:numId w:val="5"/>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Strategy agreed by the end of the 2015 calendar year.</w:t>
            </w:r>
          </w:p>
          <w:p w:rsidR="00422E4F" w:rsidRPr="004661BB" w:rsidRDefault="00422E4F" w:rsidP="00471C0A">
            <w:pPr>
              <w:numPr>
                <w:ilvl w:val="0"/>
                <w:numId w:val="5"/>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Implementation during 2016/17.</w:t>
            </w:r>
          </w:p>
          <w:p w:rsidR="00422E4F" w:rsidRPr="004661BB" w:rsidRDefault="00422E4F" w:rsidP="00471C0A">
            <w:pPr>
              <w:numPr>
                <w:ilvl w:val="0"/>
                <w:numId w:val="5"/>
              </w:num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Initial review at end of 2017/18.</w:t>
            </w:r>
          </w:p>
        </w:tc>
        <w:tc>
          <w:tcPr>
            <w:tcW w:w="3402" w:type="dxa"/>
            <w:tcBorders>
              <w:bottom w:val="nil"/>
            </w:tcBorders>
            <w:vAlign w:val="center"/>
          </w:tcPr>
          <w:p w:rsidR="00422E4F" w:rsidRPr="004661BB" w:rsidRDefault="00071510" w:rsidP="00471C0A">
            <w:pPr>
              <w:autoSpaceDE w:val="0"/>
              <w:autoSpaceDN w:val="0"/>
              <w:adjustRightInd w:val="0"/>
              <w:spacing w:after="120"/>
              <w:contextualSpacing/>
              <w:rPr>
                <w:rFonts w:eastAsia="Calibri" w:cs="Arial"/>
                <w:color w:val="000000"/>
                <w:sz w:val="22"/>
                <w:szCs w:val="22"/>
              </w:rPr>
            </w:pPr>
            <w:r w:rsidRPr="004661BB">
              <w:rPr>
                <w:rFonts w:eastAsia="Calibri" w:cs="Arial"/>
                <w:color w:val="000000"/>
                <w:sz w:val="22"/>
                <w:szCs w:val="22"/>
              </w:rPr>
              <w:t>Preparatory work on this continues. There is a need to consider whether, in the light of the change in actuarial approach for the 2016 valuation it would be better to delay this work until after the valuation.</w:t>
            </w:r>
          </w:p>
        </w:tc>
      </w:tr>
      <w:tr w:rsidR="000330C7" w:rsidRPr="004661BB" w:rsidTr="00471C0A">
        <w:tc>
          <w:tcPr>
            <w:tcW w:w="2405" w:type="dxa"/>
            <w:tcBorders>
              <w:top w:val="nil"/>
            </w:tcBorders>
          </w:tcPr>
          <w:p w:rsidR="000330C7" w:rsidRPr="004661BB" w:rsidRDefault="000330C7" w:rsidP="00422E4F">
            <w:pPr>
              <w:autoSpaceDE w:val="0"/>
              <w:autoSpaceDN w:val="0"/>
              <w:adjustRightInd w:val="0"/>
              <w:spacing w:after="120"/>
              <w:rPr>
                <w:rFonts w:eastAsia="Calibri" w:cs="Arial"/>
                <w:color w:val="000000"/>
              </w:rPr>
            </w:pPr>
          </w:p>
        </w:tc>
        <w:tc>
          <w:tcPr>
            <w:tcW w:w="2693" w:type="dxa"/>
            <w:tcBorders>
              <w:top w:val="nil"/>
            </w:tcBorders>
            <w:vAlign w:val="center"/>
          </w:tcPr>
          <w:p w:rsidR="000330C7" w:rsidRPr="004661BB" w:rsidRDefault="000330C7" w:rsidP="00965320">
            <w:pPr>
              <w:autoSpaceDE w:val="0"/>
              <w:autoSpaceDN w:val="0"/>
              <w:adjustRightInd w:val="0"/>
              <w:spacing w:after="120"/>
              <w:ind w:left="360"/>
              <w:contextualSpacing/>
              <w:rPr>
                <w:rFonts w:eastAsia="Calibri" w:cs="Arial"/>
                <w:color w:val="000000"/>
              </w:rPr>
            </w:pPr>
          </w:p>
        </w:tc>
        <w:tc>
          <w:tcPr>
            <w:tcW w:w="2694" w:type="dxa"/>
            <w:tcBorders>
              <w:top w:val="nil"/>
            </w:tcBorders>
            <w:vAlign w:val="center"/>
          </w:tcPr>
          <w:p w:rsidR="000330C7" w:rsidRPr="004661BB" w:rsidRDefault="000330C7" w:rsidP="00965320">
            <w:pPr>
              <w:autoSpaceDE w:val="0"/>
              <w:autoSpaceDN w:val="0"/>
              <w:adjustRightInd w:val="0"/>
              <w:spacing w:after="120"/>
              <w:ind w:left="360"/>
              <w:contextualSpacing/>
              <w:rPr>
                <w:rFonts w:eastAsia="Calibri" w:cs="Arial"/>
                <w:color w:val="000000"/>
              </w:rPr>
            </w:pPr>
          </w:p>
        </w:tc>
        <w:tc>
          <w:tcPr>
            <w:tcW w:w="2551" w:type="dxa"/>
            <w:tcBorders>
              <w:top w:val="nil"/>
            </w:tcBorders>
            <w:vAlign w:val="center"/>
          </w:tcPr>
          <w:p w:rsidR="000330C7" w:rsidRPr="004661BB" w:rsidRDefault="000330C7" w:rsidP="00965320">
            <w:pPr>
              <w:autoSpaceDE w:val="0"/>
              <w:autoSpaceDN w:val="0"/>
              <w:adjustRightInd w:val="0"/>
              <w:spacing w:after="120"/>
              <w:ind w:left="360"/>
              <w:contextualSpacing/>
              <w:rPr>
                <w:rFonts w:eastAsia="Calibri" w:cs="Arial"/>
                <w:color w:val="000000"/>
              </w:rPr>
            </w:pPr>
          </w:p>
        </w:tc>
        <w:tc>
          <w:tcPr>
            <w:tcW w:w="3402" w:type="dxa"/>
            <w:tcBorders>
              <w:top w:val="nil"/>
            </w:tcBorders>
            <w:vAlign w:val="center"/>
          </w:tcPr>
          <w:p w:rsidR="000330C7" w:rsidRPr="004661BB" w:rsidRDefault="000330C7" w:rsidP="00471C0A">
            <w:pPr>
              <w:autoSpaceDE w:val="0"/>
              <w:autoSpaceDN w:val="0"/>
              <w:adjustRightInd w:val="0"/>
              <w:spacing w:after="120"/>
              <w:contextualSpacing/>
              <w:rPr>
                <w:rFonts w:eastAsia="Calibri" w:cs="Arial"/>
                <w:color w:val="000000"/>
              </w:rPr>
            </w:pPr>
          </w:p>
        </w:tc>
      </w:tr>
    </w:tbl>
    <w:tbl>
      <w:tblPr>
        <w:tblStyle w:val="TableGrid1"/>
        <w:tblW w:w="4927" w:type="pct"/>
        <w:tblLook w:val="04A0" w:firstRow="1" w:lastRow="0" w:firstColumn="1" w:lastColumn="0" w:noHBand="0" w:noVBand="1"/>
      </w:tblPr>
      <w:tblGrid>
        <w:gridCol w:w="2405"/>
        <w:gridCol w:w="2694"/>
        <w:gridCol w:w="2694"/>
        <w:gridCol w:w="2551"/>
        <w:gridCol w:w="3400"/>
      </w:tblGrid>
      <w:tr w:rsidR="000330C7" w:rsidRPr="004661BB" w:rsidTr="0079467F">
        <w:trPr>
          <w:trHeight w:val="1125"/>
        </w:trPr>
        <w:tc>
          <w:tcPr>
            <w:tcW w:w="875" w:type="pct"/>
            <w:vAlign w:val="center"/>
          </w:tcPr>
          <w:p w:rsidR="000330C7" w:rsidRPr="004661BB" w:rsidRDefault="000330C7"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ACTION</w:t>
            </w:r>
          </w:p>
        </w:tc>
        <w:tc>
          <w:tcPr>
            <w:tcW w:w="980" w:type="pct"/>
          </w:tcPr>
          <w:p w:rsidR="000330C7" w:rsidRPr="004661BB" w:rsidRDefault="000330C7" w:rsidP="0079467F">
            <w:pPr>
              <w:autoSpaceDE w:val="0"/>
              <w:autoSpaceDN w:val="0"/>
              <w:adjustRightInd w:val="0"/>
              <w:spacing w:after="120"/>
              <w:contextualSpacing/>
              <w:rPr>
                <w:rFonts w:eastAsia="Calibri" w:cs="Arial"/>
                <w:b/>
                <w:color w:val="000000"/>
                <w:sz w:val="22"/>
                <w:szCs w:val="22"/>
              </w:rPr>
            </w:pPr>
          </w:p>
          <w:p w:rsidR="000330C7" w:rsidRPr="004661BB" w:rsidRDefault="000330C7" w:rsidP="0079467F">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980" w:type="pct"/>
            <w:vAlign w:val="center"/>
          </w:tcPr>
          <w:p w:rsidR="000330C7" w:rsidRPr="004661BB" w:rsidRDefault="000330C7" w:rsidP="0079467F">
            <w:pPr>
              <w:autoSpaceDE w:val="0"/>
              <w:autoSpaceDN w:val="0"/>
              <w:adjustRightInd w:val="0"/>
              <w:spacing w:after="120"/>
              <w:ind w:left="360"/>
              <w:contextualSpacing/>
              <w:jc w:val="center"/>
              <w:rPr>
                <w:rFonts w:eastAsia="Calibri" w:cs="Arial"/>
                <w:b/>
                <w:color w:val="000000"/>
                <w:sz w:val="22"/>
                <w:szCs w:val="22"/>
              </w:rPr>
            </w:pPr>
            <w:r w:rsidRPr="004661BB">
              <w:rPr>
                <w:rFonts w:eastAsia="Calibri" w:cs="Arial"/>
                <w:b/>
                <w:color w:val="000000"/>
                <w:sz w:val="22"/>
                <w:szCs w:val="22"/>
              </w:rPr>
              <w:t>HOW WILL SUCCESS BE MEASURED?</w:t>
            </w:r>
          </w:p>
        </w:tc>
        <w:tc>
          <w:tcPr>
            <w:tcW w:w="928" w:type="pct"/>
            <w:vAlign w:val="center"/>
          </w:tcPr>
          <w:p w:rsidR="000330C7" w:rsidRPr="004661BB" w:rsidRDefault="000330C7"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TIMESCALE</w:t>
            </w:r>
          </w:p>
        </w:tc>
        <w:tc>
          <w:tcPr>
            <w:tcW w:w="1237" w:type="pct"/>
            <w:vAlign w:val="center"/>
          </w:tcPr>
          <w:p w:rsidR="000330C7" w:rsidRPr="004661BB" w:rsidRDefault="000330C7"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PROGRESS AT END SEPT 2015</w:t>
            </w:r>
          </w:p>
        </w:tc>
      </w:tr>
    </w:tbl>
    <w:tbl>
      <w:tblPr>
        <w:tblStyle w:val="TableGrid3"/>
        <w:tblW w:w="4927" w:type="pct"/>
        <w:tblLayout w:type="fixed"/>
        <w:tblLook w:val="04A0" w:firstRow="1" w:lastRow="0" w:firstColumn="1" w:lastColumn="0" w:noHBand="0" w:noVBand="1"/>
      </w:tblPr>
      <w:tblGrid>
        <w:gridCol w:w="2405"/>
        <w:gridCol w:w="2694"/>
        <w:gridCol w:w="2694"/>
        <w:gridCol w:w="2551"/>
        <w:gridCol w:w="3400"/>
      </w:tblGrid>
      <w:tr w:rsidR="004E7A36" w:rsidRPr="004661BB" w:rsidTr="000330C7">
        <w:tc>
          <w:tcPr>
            <w:tcW w:w="875" w:type="pct"/>
          </w:tcPr>
          <w:p w:rsidR="007A2747" w:rsidRPr="007A2747" w:rsidRDefault="007A2747" w:rsidP="00422E4F">
            <w:pPr>
              <w:autoSpaceDE w:val="0"/>
              <w:autoSpaceDN w:val="0"/>
              <w:adjustRightInd w:val="0"/>
              <w:spacing w:after="120"/>
              <w:rPr>
                <w:rFonts w:eastAsia="Calibri" w:cs="Arial"/>
                <w:b/>
                <w:color w:val="000000"/>
                <w:sz w:val="22"/>
                <w:szCs w:val="22"/>
              </w:rPr>
            </w:pPr>
            <w:r>
              <w:rPr>
                <w:rFonts w:eastAsia="Calibri" w:cs="Arial"/>
                <w:b/>
                <w:color w:val="000000"/>
                <w:sz w:val="22"/>
                <w:szCs w:val="22"/>
              </w:rPr>
              <w:t>Administration</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Review and ensure  compliance with the new TPR Code of Practice for Public Sector Pension Schemes  </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Undertake GAP analysis </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Act on results  </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Via a public statement of compliance. Target 100% compliance with the relevant regulations.</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No reported breaches of law   </w:t>
            </w:r>
          </w:p>
        </w:tc>
        <w:tc>
          <w:tcPr>
            <w:tcW w:w="928" w:type="pct"/>
          </w:tcPr>
          <w:p w:rsidR="00422E4F" w:rsidRPr="004661BB" w:rsidRDefault="00422E4F"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 xml:space="preserve">31 March 2016 </w:t>
            </w:r>
          </w:p>
        </w:tc>
        <w:tc>
          <w:tcPr>
            <w:tcW w:w="1237" w:type="pct"/>
          </w:tcPr>
          <w:p w:rsidR="00422E4F" w:rsidRPr="004661BB" w:rsidRDefault="00071510" w:rsidP="00E13239">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 xml:space="preserve">Report will be made to the Local Pension Board at </w:t>
            </w:r>
            <w:r w:rsidR="00E13239">
              <w:rPr>
                <w:rFonts w:eastAsia="Calibri" w:cs="Arial"/>
                <w:color w:val="000000"/>
                <w:sz w:val="22"/>
                <w:szCs w:val="22"/>
              </w:rPr>
              <w:t>a meeting in 2016</w:t>
            </w:r>
          </w:p>
        </w:tc>
      </w:tr>
      <w:tr w:rsidR="004E7A36" w:rsidRPr="004661BB" w:rsidTr="000330C7">
        <w:tc>
          <w:tcPr>
            <w:tcW w:w="875"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Develop and implement a member and employer self-service strategies</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Introduce email/online processes in all areas of casework </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Develop website and employer e-solutions </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Develop self-service functionality within the Altair system</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Demonstrable transference of transactional activity to the employer and to the member. Set targets to measure % shift   </w:t>
            </w:r>
          </w:p>
        </w:tc>
        <w:tc>
          <w:tcPr>
            <w:tcW w:w="928"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31 March 2017   </w:t>
            </w:r>
          </w:p>
        </w:tc>
        <w:tc>
          <w:tcPr>
            <w:tcW w:w="1237" w:type="pct"/>
          </w:tcPr>
          <w:p w:rsidR="00422E4F" w:rsidRPr="004661BB" w:rsidRDefault="00071510"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Formal strategies will follow from the creation of LLPP. However, in the short term encouraging take up of on line facilities through ordinary communication channels means that ?% of members interact with the Fund electronically</w:t>
            </w:r>
          </w:p>
        </w:tc>
      </w:tr>
      <w:tr w:rsidR="004E7A36" w:rsidRPr="004661BB" w:rsidTr="000330C7">
        <w:tc>
          <w:tcPr>
            <w:tcW w:w="875"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Consider collaborative opportunities and work towards building capacity for the future  </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Work in partnership with  likeminded Authorities </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Attract new business  </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Organisational structure and capacity in place </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New business secured </w:t>
            </w:r>
          </w:p>
        </w:tc>
        <w:tc>
          <w:tcPr>
            <w:tcW w:w="928" w:type="pct"/>
          </w:tcPr>
          <w:p w:rsidR="00422E4F" w:rsidRPr="004661BB" w:rsidRDefault="00422E4F"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31 December 2016</w:t>
            </w:r>
          </w:p>
        </w:tc>
        <w:tc>
          <w:tcPr>
            <w:tcW w:w="1237" w:type="pct"/>
          </w:tcPr>
          <w:p w:rsidR="00422E4F" w:rsidRPr="004661BB" w:rsidRDefault="004E7A36"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Partnership process through LLPP is targeted for April 2016.</w:t>
            </w:r>
          </w:p>
          <w:p w:rsidR="004E7A36" w:rsidRPr="004661BB" w:rsidRDefault="004E7A36"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Merseyside Fire and Rescue Service added as a new client from April 2015. Proposals made to 2 other potential clients.</w:t>
            </w:r>
          </w:p>
        </w:tc>
      </w:tr>
      <w:tr w:rsidR="004E7A36" w:rsidRPr="004661BB" w:rsidTr="000330C7">
        <w:tc>
          <w:tcPr>
            <w:tcW w:w="875"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Review employer compliance with Pension Administration Strategy Statement </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Implement monitoring process. Measure and report results to PFC   </w:t>
            </w:r>
          </w:p>
        </w:tc>
        <w:tc>
          <w:tcPr>
            <w:tcW w:w="980" w:type="pct"/>
          </w:tcPr>
          <w:p w:rsidR="00422E4F" w:rsidRPr="004661BB" w:rsidRDefault="00422E4F"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 xml:space="preserve">% Employer compliance   </w:t>
            </w:r>
          </w:p>
        </w:tc>
        <w:tc>
          <w:tcPr>
            <w:tcW w:w="928" w:type="pct"/>
          </w:tcPr>
          <w:p w:rsidR="00422E4F" w:rsidRPr="004661BB" w:rsidRDefault="00422E4F"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31 December 2015</w:t>
            </w:r>
          </w:p>
        </w:tc>
        <w:tc>
          <w:tcPr>
            <w:tcW w:w="1237" w:type="pct"/>
          </w:tcPr>
          <w:p w:rsidR="00422E4F" w:rsidRPr="004661BB" w:rsidRDefault="004E7A36"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To be reported to Local Pension Board and PFC in Quarter 1 of 2016.</w:t>
            </w:r>
          </w:p>
        </w:tc>
      </w:tr>
    </w:tbl>
    <w:tbl>
      <w:tblPr>
        <w:tblStyle w:val="TableGrid1"/>
        <w:tblW w:w="4927" w:type="pct"/>
        <w:tblLook w:val="04A0" w:firstRow="1" w:lastRow="0" w:firstColumn="1" w:lastColumn="0" w:noHBand="0" w:noVBand="1"/>
      </w:tblPr>
      <w:tblGrid>
        <w:gridCol w:w="2405"/>
        <w:gridCol w:w="2694"/>
        <w:gridCol w:w="2694"/>
        <w:gridCol w:w="2551"/>
        <w:gridCol w:w="3400"/>
      </w:tblGrid>
      <w:tr w:rsidR="00855A77" w:rsidRPr="004661BB" w:rsidTr="0079467F">
        <w:trPr>
          <w:trHeight w:val="1125"/>
        </w:trPr>
        <w:tc>
          <w:tcPr>
            <w:tcW w:w="875" w:type="pct"/>
            <w:vAlign w:val="center"/>
          </w:tcPr>
          <w:p w:rsidR="00855A77" w:rsidRPr="004661BB" w:rsidRDefault="00855A77"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ACTION</w:t>
            </w:r>
          </w:p>
        </w:tc>
        <w:tc>
          <w:tcPr>
            <w:tcW w:w="980" w:type="pct"/>
          </w:tcPr>
          <w:p w:rsidR="00855A77" w:rsidRPr="004661BB" w:rsidRDefault="00855A77" w:rsidP="0079467F">
            <w:pPr>
              <w:autoSpaceDE w:val="0"/>
              <w:autoSpaceDN w:val="0"/>
              <w:adjustRightInd w:val="0"/>
              <w:spacing w:after="120"/>
              <w:contextualSpacing/>
              <w:rPr>
                <w:rFonts w:eastAsia="Calibri" w:cs="Arial"/>
                <w:b/>
                <w:color w:val="000000"/>
                <w:sz w:val="22"/>
                <w:szCs w:val="22"/>
              </w:rPr>
            </w:pPr>
          </w:p>
          <w:p w:rsidR="00855A77" w:rsidRPr="004661BB" w:rsidRDefault="00855A77" w:rsidP="0079467F">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980" w:type="pct"/>
            <w:vAlign w:val="center"/>
          </w:tcPr>
          <w:p w:rsidR="00855A77" w:rsidRPr="004661BB" w:rsidRDefault="00855A77" w:rsidP="0079467F">
            <w:pPr>
              <w:autoSpaceDE w:val="0"/>
              <w:autoSpaceDN w:val="0"/>
              <w:adjustRightInd w:val="0"/>
              <w:spacing w:after="120"/>
              <w:ind w:left="360"/>
              <w:contextualSpacing/>
              <w:jc w:val="center"/>
              <w:rPr>
                <w:rFonts w:eastAsia="Calibri" w:cs="Arial"/>
                <w:b/>
                <w:color w:val="000000"/>
                <w:sz w:val="22"/>
                <w:szCs w:val="22"/>
              </w:rPr>
            </w:pPr>
            <w:r w:rsidRPr="004661BB">
              <w:rPr>
                <w:rFonts w:eastAsia="Calibri" w:cs="Arial"/>
                <w:b/>
                <w:color w:val="000000"/>
                <w:sz w:val="22"/>
                <w:szCs w:val="22"/>
              </w:rPr>
              <w:t>HOW WILL SUCCESS BE MEASURED?</w:t>
            </w:r>
          </w:p>
        </w:tc>
        <w:tc>
          <w:tcPr>
            <w:tcW w:w="928" w:type="pct"/>
            <w:vAlign w:val="center"/>
          </w:tcPr>
          <w:p w:rsidR="00855A77" w:rsidRPr="004661BB" w:rsidRDefault="00855A77"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TIMESCALE</w:t>
            </w:r>
          </w:p>
        </w:tc>
        <w:tc>
          <w:tcPr>
            <w:tcW w:w="1237" w:type="pct"/>
            <w:vAlign w:val="center"/>
          </w:tcPr>
          <w:p w:rsidR="00855A77" w:rsidRPr="004661BB" w:rsidRDefault="00855A77"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PROGRESS AT END SEPT 2015</w:t>
            </w:r>
          </w:p>
        </w:tc>
      </w:tr>
    </w:tbl>
    <w:tbl>
      <w:tblPr>
        <w:tblStyle w:val="TableGrid3"/>
        <w:tblW w:w="4927" w:type="pct"/>
        <w:tblLayout w:type="fixed"/>
        <w:tblLook w:val="04A0" w:firstRow="1" w:lastRow="0" w:firstColumn="1" w:lastColumn="0" w:noHBand="0" w:noVBand="1"/>
      </w:tblPr>
      <w:tblGrid>
        <w:gridCol w:w="2405"/>
        <w:gridCol w:w="2694"/>
        <w:gridCol w:w="2694"/>
        <w:gridCol w:w="2551"/>
        <w:gridCol w:w="3400"/>
      </w:tblGrid>
      <w:tr w:rsidR="004E7A36" w:rsidRPr="004661BB" w:rsidTr="000330C7">
        <w:tc>
          <w:tcPr>
            <w:tcW w:w="875" w:type="pct"/>
          </w:tcPr>
          <w:p w:rsidR="00422E4F" w:rsidRPr="004661BB" w:rsidRDefault="00422E4F"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Undertake systematic analysis of appeals</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Implement case review process</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Year on year reduction in 1</w:t>
            </w:r>
            <w:r w:rsidRPr="004661BB">
              <w:rPr>
                <w:rFonts w:eastAsia="Calibri" w:cs="Arial"/>
                <w:color w:val="000000"/>
                <w:sz w:val="22"/>
                <w:szCs w:val="22"/>
                <w:vertAlign w:val="superscript"/>
              </w:rPr>
              <w:t>st</w:t>
            </w:r>
            <w:r w:rsidRPr="004661BB">
              <w:rPr>
                <w:rFonts w:eastAsia="Calibri" w:cs="Arial"/>
                <w:color w:val="000000"/>
                <w:sz w:val="22"/>
                <w:szCs w:val="22"/>
              </w:rPr>
              <w:t xml:space="preserve"> and 2</w:t>
            </w:r>
            <w:r w:rsidRPr="004661BB">
              <w:rPr>
                <w:rFonts w:eastAsia="Calibri" w:cs="Arial"/>
                <w:color w:val="000000"/>
                <w:sz w:val="22"/>
                <w:szCs w:val="22"/>
                <w:vertAlign w:val="superscript"/>
              </w:rPr>
              <w:t>nd</w:t>
            </w:r>
            <w:r w:rsidRPr="004661BB">
              <w:rPr>
                <w:rFonts w:eastAsia="Calibri" w:cs="Arial"/>
                <w:color w:val="000000"/>
                <w:sz w:val="22"/>
                <w:szCs w:val="22"/>
              </w:rPr>
              <w:t xml:space="preserve"> stage appeals  </w:t>
            </w:r>
          </w:p>
        </w:tc>
        <w:tc>
          <w:tcPr>
            <w:tcW w:w="928" w:type="pct"/>
          </w:tcPr>
          <w:p w:rsidR="00422E4F" w:rsidRPr="004661BB" w:rsidRDefault="00422E4F"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1 April 2017</w:t>
            </w:r>
          </w:p>
        </w:tc>
        <w:tc>
          <w:tcPr>
            <w:tcW w:w="1237" w:type="pct"/>
          </w:tcPr>
          <w:p w:rsidR="00422E4F" w:rsidRPr="004661BB" w:rsidRDefault="004E7A36"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Work not yet commenced</w:t>
            </w:r>
          </w:p>
        </w:tc>
      </w:tr>
      <w:tr w:rsidR="004E7A36" w:rsidRPr="004661BB" w:rsidTr="000330C7">
        <w:tc>
          <w:tcPr>
            <w:tcW w:w="875"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Review basic financial control processes surrounding pension fund administration and pensioner payroll.     </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Undertake GAP analysis</w:t>
            </w:r>
          </w:p>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Act on results   </w:t>
            </w:r>
          </w:p>
        </w:tc>
        <w:tc>
          <w:tcPr>
            <w:tcW w:w="980" w:type="pct"/>
          </w:tcPr>
          <w:p w:rsidR="00422E4F" w:rsidRPr="004661BB" w:rsidRDefault="00422E4F"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Full Assurance from internal and external auditors.   </w:t>
            </w:r>
          </w:p>
        </w:tc>
        <w:tc>
          <w:tcPr>
            <w:tcW w:w="928" w:type="pct"/>
          </w:tcPr>
          <w:p w:rsidR="00422E4F" w:rsidRPr="004661BB" w:rsidRDefault="00422E4F"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 xml:space="preserve">1 April 2016 </w:t>
            </w:r>
          </w:p>
        </w:tc>
        <w:tc>
          <w:tcPr>
            <w:tcW w:w="1237" w:type="pct"/>
          </w:tcPr>
          <w:p w:rsidR="00422E4F" w:rsidRPr="004661BB" w:rsidRDefault="004E7A36" w:rsidP="00422E4F">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 xml:space="preserve">Work on-going. No recommendations from either set of auditors which require action. </w:t>
            </w:r>
          </w:p>
          <w:p w:rsidR="004E7A36" w:rsidRPr="004661BB" w:rsidRDefault="004E7A36" w:rsidP="004E7A36">
            <w:pPr>
              <w:autoSpaceDE w:val="0"/>
              <w:autoSpaceDN w:val="0"/>
              <w:adjustRightInd w:val="0"/>
              <w:spacing w:after="120"/>
              <w:jc w:val="both"/>
              <w:rPr>
                <w:rFonts w:eastAsia="Calibri" w:cs="Arial"/>
                <w:color w:val="000000"/>
                <w:sz w:val="22"/>
                <w:szCs w:val="22"/>
              </w:rPr>
            </w:pPr>
            <w:r w:rsidRPr="004661BB">
              <w:rPr>
                <w:rFonts w:eastAsia="Calibri" w:cs="Arial"/>
                <w:color w:val="000000"/>
                <w:sz w:val="22"/>
                <w:szCs w:val="22"/>
              </w:rPr>
              <w:t>Full formal review will be required prior to implementation of LLPP.</w:t>
            </w:r>
          </w:p>
        </w:tc>
      </w:tr>
    </w:tbl>
    <w:tbl>
      <w:tblPr>
        <w:tblStyle w:val="TableGrid5"/>
        <w:tblW w:w="4927" w:type="pct"/>
        <w:tblLook w:val="04A0" w:firstRow="1" w:lastRow="0" w:firstColumn="1" w:lastColumn="0" w:noHBand="0" w:noVBand="1"/>
      </w:tblPr>
      <w:tblGrid>
        <w:gridCol w:w="2405"/>
        <w:gridCol w:w="2694"/>
        <w:gridCol w:w="2694"/>
        <w:gridCol w:w="2551"/>
        <w:gridCol w:w="3400"/>
      </w:tblGrid>
      <w:tr w:rsidR="004E7A36" w:rsidRPr="004661BB" w:rsidTr="00855A77">
        <w:tc>
          <w:tcPr>
            <w:tcW w:w="875" w:type="pct"/>
          </w:tcPr>
          <w:p w:rsidR="007A2747" w:rsidRPr="007A2747" w:rsidRDefault="007A2747" w:rsidP="00422E4F">
            <w:pPr>
              <w:autoSpaceDE w:val="0"/>
              <w:autoSpaceDN w:val="0"/>
              <w:adjustRightInd w:val="0"/>
              <w:spacing w:after="120"/>
              <w:rPr>
                <w:rFonts w:eastAsia="Calibri" w:cs="Arial"/>
                <w:b/>
                <w:color w:val="000000"/>
                <w:sz w:val="22"/>
                <w:szCs w:val="22"/>
              </w:rPr>
            </w:pPr>
            <w:r>
              <w:rPr>
                <w:rFonts w:eastAsia="Calibri" w:cs="Arial"/>
                <w:b/>
                <w:color w:val="000000"/>
                <w:sz w:val="22"/>
                <w:szCs w:val="22"/>
              </w:rPr>
              <w:t>Communication</w:t>
            </w:r>
          </w:p>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Develop a Pension Fund website</w:t>
            </w:r>
          </w:p>
        </w:tc>
        <w:tc>
          <w:tcPr>
            <w:tcW w:w="980"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Design and implement new website for the Fund's information as opposed to pensions administration processes</w:t>
            </w:r>
          </w:p>
        </w:tc>
        <w:tc>
          <w:tcPr>
            <w:tcW w:w="980"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Increased engagement in funding and investment issues  e.g. through the number of website visitors</w:t>
            </w:r>
          </w:p>
        </w:tc>
        <w:tc>
          <w:tcPr>
            <w:tcW w:w="928"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December 2015</w:t>
            </w:r>
          </w:p>
        </w:tc>
        <w:tc>
          <w:tcPr>
            <w:tcW w:w="1237"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Work commissioned through LCC Communications Service.</w:t>
            </w:r>
          </w:p>
        </w:tc>
      </w:tr>
      <w:tr w:rsidR="004E7A36" w:rsidRPr="004661BB" w:rsidTr="00785CEE">
        <w:trPr>
          <w:trHeight w:val="2967"/>
        </w:trPr>
        <w:tc>
          <w:tcPr>
            <w:tcW w:w="875"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Develop and implement an Employer engagement strategy</w:t>
            </w:r>
          </w:p>
        </w:tc>
        <w:tc>
          <w:tcPr>
            <w:tcW w:w="980" w:type="pct"/>
          </w:tcPr>
          <w:p w:rsidR="004E7A36" w:rsidRPr="004661BB" w:rsidRDefault="004E7A36" w:rsidP="00422E4F">
            <w:pPr>
              <w:autoSpaceDE w:val="0"/>
              <w:autoSpaceDN w:val="0"/>
              <w:adjustRightInd w:val="0"/>
              <w:rPr>
                <w:rFonts w:eastAsia="Calibri" w:cs="Arial"/>
                <w:sz w:val="22"/>
                <w:szCs w:val="22"/>
              </w:rPr>
            </w:pPr>
            <w:r w:rsidRPr="004661BB">
              <w:rPr>
                <w:rFonts w:eastAsia="Calibri" w:cs="Arial"/>
                <w:sz w:val="22"/>
                <w:szCs w:val="22"/>
              </w:rPr>
              <w:t>Promote the use of online and email communication and information sharing, making online self-service the norm and the employer website area the first port of call for employers.</w:t>
            </w:r>
          </w:p>
          <w:p w:rsidR="004E7A36" w:rsidRDefault="004E7A36" w:rsidP="00422E4F">
            <w:pPr>
              <w:autoSpaceDE w:val="0"/>
              <w:autoSpaceDN w:val="0"/>
              <w:adjustRightInd w:val="0"/>
              <w:rPr>
                <w:rFonts w:eastAsia="Calibri" w:cs="Arial"/>
                <w:sz w:val="22"/>
                <w:szCs w:val="22"/>
              </w:rPr>
            </w:pPr>
          </w:p>
          <w:p w:rsidR="00CD2AF8" w:rsidRDefault="00CD2AF8" w:rsidP="00422E4F">
            <w:pPr>
              <w:autoSpaceDE w:val="0"/>
              <w:autoSpaceDN w:val="0"/>
              <w:adjustRightInd w:val="0"/>
              <w:rPr>
                <w:rFonts w:eastAsia="Calibri" w:cs="Arial"/>
                <w:sz w:val="22"/>
                <w:szCs w:val="22"/>
              </w:rPr>
            </w:pPr>
          </w:p>
          <w:p w:rsidR="00CD2AF8" w:rsidRDefault="00CD2AF8" w:rsidP="00422E4F">
            <w:pPr>
              <w:autoSpaceDE w:val="0"/>
              <w:autoSpaceDN w:val="0"/>
              <w:adjustRightInd w:val="0"/>
              <w:rPr>
                <w:rFonts w:eastAsia="Calibri" w:cs="Arial"/>
                <w:sz w:val="22"/>
                <w:szCs w:val="22"/>
              </w:rPr>
            </w:pPr>
          </w:p>
          <w:p w:rsidR="00CD2AF8" w:rsidRDefault="00CD2AF8" w:rsidP="00422E4F">
            <w:pPr>
              <w:autoSpaceDE w:val="0"/>
              <w:autoSpaceDN w:val="0"/>
              <w:adjustRightInd w:val="0"/>
              <w:rPr>
                <w:rFonts w:eastAsia="Calibri" w:cs="Arial"/>
                <w:sz w:val="22"/>
                <w:szCs w:val="22"/>
              </w:rPr>
            </w:pPr>
          </w:p>
          <w:p w:rsidR="00CD2AF8" w:rsidRDefault="00CD2AF8" w:rsidP="00422E4F">
            <w:pPr>
              <w:autoSpaceDE w:val="0"/>
              <w:autoSpaceDN w:val="0"/>
              <w:adjustRightInd w:val="0"/>
              <w:rPr>
                <w:rFonts w:eastAsia="Calibri" w:cs="Arial"/>
                <w:sz w:val="22"/>
                <w:szCs w:val="22"/>
              </w:rPr>
            </w:pPr>
          </w:p>
          <w:p w:rsidR="00CD2AF8" w:rsidRDefault="00CD2AF8" w:rsidP="00422E4F">
            <w:pPr>
              <w:autoSpaceDE w:val="0"/>
              <w:autoSpaceDN w:val="0"/>
              <w:adjustRightInd w:val="0"/>
              <w:rPr>
                <w:rFonts w:eastAsia="Calibri" w:cs="Arial"/>
                <w:sz w:val="22"/>
                <w:szCs w:val="22"/>
              </w:rPr>
            </w:pPr>
          </w:p>
          <w:p w:rsidR="004E7A36" w:rsidRPr="004661BB" w:rsidRDefault="004E7A36" w:rsidP="00422E4F">
            <w:pPr>
              <w:autoSpaceDE w:val="0"/>
              <w:autoSpaceDN w:val="0"/>
              <w:adjustRightInd w:val="0"/>
              <w:rPr>
                <w:rFonts w:eastAsia="Calibri" w:cs="Arial"/>
                <w:sz w:val="22"/>
                <w:szCs w:val="22"/>
              </w:rPr>
            </w:pPr>
          </w:p>
        </w:tc>
        <w:tc>
          <w:tcPr>
            <w:tcW w:w="980" w:type="pct"/>
          </w:tcPr>
          <w:p w:rsidR="004E7A36" w:rsidRPr="004661BB" w:rsidRDefault="004E7A36" w:rsidP="00CD2AF8">
            <w:pPr>
              <w:autoSpaceDE w:val="0"/>
              <w:autoSpaceDN w:val="0"/>
              <w:adjustRightInd w:val="0"/>
              <w:rPr>
                <w:rFonts w:eastAsia="Calibri" w:cs="Arial"/>
                <w:color w:val="000000"/>
                <w:sz w:val="22"/>
                <w:szCs w:val="22"/>
              </w:rPr>
            </w:pPr>
            <w:r w:rsidRPr="004661BB">
              <w:rPr>
                <w:rFonts w:eastAsia="Calibri" w:cs="Arial"/>
                <w:color w:val="000000"/>
                <w:sz w:val="22"/>
                <w:szCs w:val="22"/>
              </w:rPr>
              <w:t xml:space="preserve">Demonstrable increase in employers using online services. </w:t>
            </w:r>
          </w:p>
          <w:p w:rsidR="004E7A36" w:rsidRPr="004661BB" w:rsidRDefault="004E7A36" w:rsidP="00CD2AF8">
            <w:pPr>
              <w:autoSpaceDE w:val="0"/>
              <w:autoSpaceDN w:val="0"/>
              <w:adjustRightInd w:val="0"/>
              <w:rPr>
                <w:rFonts w:eastAsia="Calibri" w:cs="Arial"/>
                <w:color w:val="000000"/>
                <w:sz w:val="22"/>
                <w:szCs w:val="22"/>
              </w:rPr>
            </w:pPr>
          </w:p>
          <w:p w:rsidR="004E7A36" w:rsidRPr="004661BB" w:rsidRDefault="004E7A36" w:rsidP="00CD2AF8">
            <w:pPr>
              <w:autoSpaceDE w:val="0"/>
              <w:autoSpaceDN w:val="0"/>
              <w:adjustRightInd w:val="0"/>
              <w:rPr>
                <w:rFonts w:eastAsia="Calibri" w:cs="Arial"/>
                <w:color w:val="000000"/>
                <w:sz w:val="22"/>
                <w:szCs w:val="22"/>
              </w:rPr>
            </w:pPr>
            <w:r w:rsidRPr="004661BB">
              <w:rPr>
                <w:rFonts w:eastAsia="Calibri" w:cs="Arial"/>
                <w:color w:val="000000"/>
                <w:sz w:val="22"/>
                <w:szCs w:val="22"/>
              </w:rPr>
              <w:t xml:space="preserve">Increased member awareness of pension benefits </w:t>
            </w:r>
          </w:p>
          <w:p w:rsidR="004E7A36" w:rsidRPr="004661BB" w:rsidRDefault="004E7A36" w:rsidP="00CD2AF8">
            <w:pPr>
              <w:autoSpaceDE w:val="0"/>
              <w:autoSpaceDN w:val="0"/>
              <w:adjustRightInd w:val="0"/>
              <w:rPr>
                <w:rFonts w:eastAsia="Calibri" w:cs="Arial"/>
                <w:color w:val="000000"/>
                <w:sz w:val="22"/>
                <w:szCs w:val="22"/>
              </w:rPr>
            </w:pPr>
          </w:p>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Increase in proactive  employer engagement </w:t>
            </w:r>
          </w:p>
        </w:tc>
        <w:tc>
          <w:tcPr>
            <w:tcW w:w="928"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April 2017</w:t>
            </w:r>
          </w:p>
        </w:tc>
        <w:tc>
          <w:tcPr>
            <w:tcW w:w="1237" w:type="pct"/>
          </w:tcPr>
          <w:p w:rsidR="004E7A36" w:rsidRPr="004661BB" w:rsidRDefault="001D26DE" w:rsidP="001D26DE">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Formal strategy will follow from the creation of LLPP. However, in the short term encouraging take up of on line facilities through ordinary communication channels means that ?% of employers interact with the Fund electronically</w:t>
            </w:r>
          </w:p>
        </w:tc>
      </w:tr>
    </w:tbl>
    <w:tbl>
      <w:tblPr>
        <w:tblStyle w:val="TableGrid1"/>
        <w:tblW w:w="4927" w:type="pct"/>
        <w:tblLook w:val="04A0" w:firstRow="1" w:lastRow="0" w:firstColumn="1" w:lastColumn="0" w:noHBand="0" w:noVBand="1"/>
      </w:tblPr>
      <w:tblGrid>
        <w:gridCol w:w="2405"/>
        <w:gridCol w:w="2694"/>
        <w:gridCol w:w="2694"/>
        <w:gridCol w:w="2551"/>
        <w:gridCol w:w="3400"/>
      </w:tblGrid>
      <w:tr w:rsidR="00CD2AF8" w:rsidRPr="004661BB" w:rsidTr="0079467F">
        <w:trPr>
          <w:trHeight w:val="1125"/>
        </w:trPr>
        <w:tc>
          <w:tcPr>
            <w:tcW w:w="875" w:type="pct"/>
            <w:vAlign w:val="center"/>
          </w:tcPr>
          <w:p w:rsidR="00CD2AF8" w:rsidRPr="004661BB" w:rsidRDefault="00CD2AF8"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ACTION</w:t>
            </w:r>
          </w:p>
        </w:tc>
        <w:tc>
          <w:tcPr>
            <w:tcW w:w="980" w:type="pct"/>
          </w:tcPr>
          <w:p w:rsidR="00CD2AF8" w:rsidRPr="004661BB" w:rsidRDefault="00CD2AF8" w:rsidP="0079467F">
            <w:pPr>
              <w:autoSpaceDE w:val="0"/>
              <w:autoSpaceDN w:val="0"/>
              <w:adjustRightInd w:val="0"/>
              <w:spacing w:after="120"/>
              <w:contextualSpacing/>
              <w:rPr>
                <w:rFonts w:eastAsia="Calibri" w:cs="Arial"/>
                <w:b/>
                <w:color w:val="000000"/>
                <w:sz w:val="22"/>
                <w:szCs w:val="22"/>
              </w:rPr>
            </w:pPr>
          </w:p>
          <w:p w:rsidR="00CD2AF8" w:rsidRPr="004661BB" w:rsidRDefault="00CD2AF8" w:rsidP="0079467F">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980" w:type="pct"/>
            <w:vAlign w:val="center"/>
          </w:tcPr>
          <w:p w:rsidR="00CD2AF8" w:rsidRPr="004661BB" w:rsidRDefault="00CD2AF8" w:rsidP="0079467F">
            <w:pPr>
              <w:autoSpaceDE w:val="0"/>
              <w:autoSpaceDN w:val="0"/>
              <w:adjustRightInd w:val="0"/>
              <w:spacing w:after="120"/>
              <w:ind w:left="360"/>
              <w:contextualSpacing/>
              <w:jc w:val="center"/>
              <w:rPr>
                <w:rFonts w:eastAsia="Calibri" w:cs="Arial"/>
                <w:b/>
                <w:color w:val="000000"/>
                <w:sz w:val="22"/>
                <w:szCs w:val="22"/>
              </w:rPr>
            </w:pPr>
            <w:r w:rsidRPr="004661BB">
              <w:rPr>
                <w:rFonts w:eastAsia="Calibri" w:cs="Arial"/>
                <w:b/>
                <w:color w:val="000000"/>
                <w:sz w:val="22"/>
                <w:szCs w:val="22"/>
              </w:rPr>
              <w:t>HOW WILL SUCCESS BE MEASURED?</w:t>
            </w:r>
          </w:p>
        </w:tc>
        <w:tc>
          <w:tcPr>
            <w:tcW w:w="928" w:type="pct"/>
            <w:vAlign w:val="center"/>
          </w:tcPr>
          <w:p w:rsidR="00CD2AF8" w:rsidRPr="004661BB" w:rsidRDefault="00CD2AF8"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TIMESCALE</w:t>
            </w:r>
          </w:p>
        </w:tc>
        <w:tc>
          <w:tcPr>
            <w:tcW w:w="1237" w:type="pct"/>
            <w:vAlign w:val="center"/>
          </w:tcPr>
          <w:p w:rsidR="00CD2AF8" w:rsidRPr="004661BB" w:rsidRDefault="00CD2AF8"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PROGRESS AT END SEPT 2015</w:t>
            </w:r>
          </w:p>
        </w:tc>
      </w:tr>
      <w:tr w:rsidR="00CD2AF8" w:rsidRPr="00CD2AF8" w:rsidTr="00965320">
        <w:trPr>
          <w:trHeight w:val="1125"/>
        </w:trPr>
        <w:tc>
          <w:tcPr>
            <w:tcW w:w="875" w:type="pct"/>
            <w:tcBorders>
              <w:bottom w:val="single" w:sz="4" w:space="0" w:color="auto"/>
            </w:tcBorders>
          </w:tcPr>
          <w:p w:rsidR="00CD2AF8" w:rsidRPr="00CD2AF8" w:rsidRDefault="00CD2AF8" w:rsidP="00CD2AF8">
            <w:pPr>
              <w:autoSpaceDE w:val="0"/>
              <w:autoSpaceDN w:val="0"/>
              <w:adjustRightInd w:val="0"/>
              <w:spacing w:after="120"/>
              <w:rPr>
                <w:rFonts w:eastAsia="Calibri" w:cs="Arial"/>
                <w:color w:val="000000"/>
              </w:rPr>
            </w:pPr>
          </w:p>
        </w:tc>
        <w:tc>
          <w:tcPr>
            <w:tcW w:w="980" w:type="pct"/>
            <w:tcBorders>
              <w:bottom w:val="single" w:sz="4" w:space="0" w:color="auto"/>
            </w:tcBorders>
          </w:tcPr>
          <w:p w:rsidR="00CD2AF8" w:rsidRPr="00CD2AF8" w:rsidRDefault="00CD2AF8" w:rsidP="00CD2AF8">
            <w:pPr>
              <w:autoSpaceDE w:val="0"/>
              <w:autoSpaceDN w:val="0"/>
              <w:adjustRightInd w:val="0"/>
              <w:spacing w:after="120"/>
              <w:contextualSpacing/>
              <w:rPr>
                <w:rFonts w:eastAsia="Calibri" w:cs="Arial"/>
                <w:color w:val="000000"/>
                <w:sz w:val="22"/>
                <w:szCs w:val="22"/>
              </w:rPr>
            </w:pPr>
            <w:r w:rsidRPr="00CD2AF8">
              <w:rPr>
                <w:rFonts w:eastAsia="Calibri" w:cs="Arial"/>
                <w:color w:val="000000"/>
                <w:sz w:val="22"/>
                <w:szCs w:val="22"/>
              </w:rPr>
              <w:t>Support Scheme employers, providing publicity and information toolkits, to enable employers to fulfil their responsibility to communicate and share information with members in relation to the Scheme.</w:t>
            </w:r>
          </w:p>
          <w:p w:rsidR="00CD2AF8" w:rsidRPr="00CD2AF8" w:rsidRDefault="00CD2AF8" w:rsidP="00CD2AF8">
            <w:pPr>
              <w:autoSpaceDE w:val="0"/>
              <w:autoSpaceDN w:val="0"/>
              <w:adjustRightInd w:val="0"/>
              <w:spacing w:after="120"/>
              <w:contextualSpacing/>
              <w:rPr>
                <w:rFonts w:eastAsia="Calibri" w:cs="Arial"/>
                <w:color w:val="000000"/>
                <w:sz w:val="22"/>
                <w:szCs w:val="22"/>
              </w:rPr>
            </w:pPr>
          </w:p>
          <w:p w:rsidR="00CD2AF8" w:rsidRPr="00CD2AF8" w:rsidRDefault="00CD2AF8" w:rsidP="00CD2AF8">
            <w:pPr>
              <w:autoSpaceDE w:val="0"/>
              <w:autoSpaceDN w:val="0"/>
              <w:adjustRightInd w:val="0"/>
              <w:spacing w:after="120"/>
              <w:contextualSpacing/>
              <w:rPr>
                <w:rFonts w:eastAsia="Calibri" w:cs="Arial"/>
                <w:color w:val="000000"/>
              </w:rPr>
            </w:pPr>
            <w:r w:rsidRPr="00CD2AF8">
              <w:rPr>
                <w:rFonts w:eastAsia="Calibri" w:cs="Arial"/>
                <w:color w:val="000000"/>
                <w:sz w:val="22"/>
                <w:szCs w:val="22"/>
              </w:rPr>
              <w:t>Actively engage with employers on Funding and investment issues</w:t>
            </w:r>
          </w:p>
        </w:tc>
        <w:tc>
          <w:tcPr>
            <w:tcW w:w="980" w:type="pct"/>
            <w:tcBorders>
              <w:bottom w:val="single" w:sz="4" w:space="0" w:color="auto"/>
            </w:tcBorders>
          </w:tcPr>
          <w:p w:rsidR="00CD2AF8" w:rsidRPr="00CD2AF8" w:rsidRDefault="00CD2AF8" w:rsidP="00CD2AF8">
            <w:pPr>
              <w:autoSpaceDE w:val="0"/>
              <w:autoSpaceDN w:val="0"/>
              <w:adjustRightInd w:val="0"/>
              <w:spacing w:after="120"/>
              <w:ind w:left="360"/>
              <w:contextualSpacing/>
              <w:rPr>
                <w:rFonts w:eastAsia="Calibri" w:cs="Arial"/>
                <w:color w:val="000000"/>
              </w:rPr>
            </w:pPr>
          </w:p>
        </w:tc>
        <w:tc>
          <w:tcPr>
            <w:tcW w:w="928" w:type="pct"/>
            <w:tcBorders>
              <w:bottom w:val="single" w:sz="4" w:space="0" w:color="auto"/>
            </w:tcBorders>
          </w:tcPr>
          <w:p w:rsidR="00CD2AF8" w:rsidRPr="00CD2AF8" w:rsidRDefault="00CD2AF8" w:rsidP="00CD2AF8">
            <w:pPr>
              <w:autoSpaceDE w:val="0"/>
              <w:autoSpaceDN w:val="0"/>
              <w:adjustRightInd w:val="0"/>
              <w:spacing w:after="120"/>
              <w:rPr>
                <w:rFonts w:eastAsia="Calibri" w:cs="Arial"/>
                <w:color w:val="000000"/>
              </w:rPr>
            </w:pPr>
          </w:p>
        </w:tc>
        <w:tc>
          <w:tcPr>
            <w:tcW w:w="1237" w:type="pct"/>
            <w:tcBorders>
              <w:bottom w:val="single" w:sz="4" w:space="0" w:color="auto"/>
            </w:tcBorders>
          </w:tcPr>
          <w:p w:rsidR="00CD2AF8" w:rsidRPr="00CD2AF8" w:rsidRDefault="00CD2AF8" w:rsidP="00CD2AF8">
            <w:pPr>
              <w:autoSpaceDE w:val="0"/>
              <w:autoSpaceDN w:val="0"/>
              <w:adjustRightInd w:val="0"/>
              <w:spacing w:after="120"/>
              <w:rPr>
                <w:rFonts w:eastAsia="Calibri" w:cs="Arial"/>
                <w:color w:val="000000"/>
              </w:rPr>
            </w:pPr>
          </w:p>
        </w:tc>
      </w:tr>
    </w:tbl>
    <w:tbl>
      <w:tblPr>
        <w:tblStyle w:val="TableGrid5"/>
        <w:tblW w:w="4927" w:type="pct"/>
        <w:tblLook w:val="04A0" w:firstRow="1" w:lastRow="0" w:firstColumn="1" w:lastColumn="0" w:noHBand="0" w:noVBand="1"/>
      </w:tblPr>
      <w:tblGrid>
        <w:gridCol w:w="2405"/>
        <w:gridCol w:w="2694"/>
        <w:gridCol w:w="2694"/>
        <w:gridCol w:w="2551"/>
        <w:gridCol w:w="3400"/>
      </w:tblGrid>
      <w:tr w:rsidR="004E7A36" w:rsidRPr="004661BB" w:rsidTr="00965320">
        <w:tc>
          <w:tcPr>
            <w:tcW w:w="875" w:type="pct"/>
            <w:tcBorders>
              <w:top w:val="single" w:sz="4" w:space="0" w:color="auto"/>
            </w:tcBorders>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Develop and implement a Member engagement strategy</w:t>
            </w:r>
          </w:p>
        </w:tc>
        <w:tc>
          <w:tcPr>
            <w:tcW w:w="980" w:type="pct"/>
            <w:tcBorders>
              <w:top w:val="single" w:sz="4" w:space="0" w:color="auto"/>
            </w:tcBorders>
          </w:tcPr>
          <w:p w:rsidR="004E7A36" w:rsidRPr="004661BB" w:rsidRDefault="004E7A36" w:rsidP="00422E4F">
            <w:pPr>
              <w:autoSpaceDE w:val="0"/>
              <w:autoSpaceDN w:val="0"/>
              <w:adjustRightInd w:val="0"/>
              <w:rPr>
                <w:rFonts w:eastAsia="Calibri" w:cs="Arial"/>
                <w:sz w:val="22"/>
                <w:szCs w:val="22"/>
              </w:rPr>
            </w:pPr>
            <w:r w:rsidRPr="004661BB">
              <w:rPr>
                <w:rFonts w:eastAsia="Calibri" w:cs="Arial"/>
                <w:sz w:val="22"/>
                <w:szCs w:val="22"/>
              </w:rPr>
              <w:t xml:space="preserve">Promote the use of online and email communication and information sharing, making online self-service the norm and the website the first point of contact for members.   </w:t>
            </w:r>
          </w:p>
          <w:p w:rsidR="004E7A36" w:rsidRPr="004661BB" w:rsidRDefault="004E7A36" w:rsidP="00422E4F">
            <w:pPr>
              <w:autoSpaceDE w:val="0"/>
              <w:autoSpaceDN w:val="0"/>
              <w:adjustRightInd w:val="0"/>
              <w:rPr>
                <w:rFonts w:eastAsia="Calibri" w:cs="Arial"/>
                <w:sz w:val="22"/>
                <w:szCs w:val="22"/>
              </w:rPr>
            </w:pPr>
          </w:p>
          <w:p w:rsidR="004E7A36" w:rsidRPr="00965320" w:rsidRDefault="004E7A36" w:rsidP="00422E4F">
            <w:pPr>
              <w:autoSpaceDE w:val="0"/>
              <w:autoSpaceDN w:val="0"/>
              <w:adjustRightInd w:val="0"/>
              <w:rPr>
                <w:rFonts w:eastAsia="Calibri" w:cs="Arial"/>
                <w:sz w:val="22"/>
                <w:szCs w:val="22"/>
              </w:rPr>
            </w:pPr>
            <w:r w:rsidRPr="004661BB">
              <w:rPr>
                <w:rFonts w:eastAsia="Calibri" w:cs="Arial"/>
                <w:sz w:val="22"/>
                <w:szCs w:val="22"/>
              </w:rPr>
              <w:t>Take a multimedia approach to communication and engagement in recognition that different styles and methods of communication suit different stakeholders</w:t>
            </w:r>
          </w:p>
        </w:tc>
        <w:tc>
          <w:tcPr>
            <w:tcW w:w="980" w:type="pct"/>
            <w:tcBorders>
              <w:top w:val="single" w:sz="4" w:space="0" w:color="auto"/>
            </w:tcBorders>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Demonstrable increase in online self- service activity.</w:t>
            </w:r>
          </w:p>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Increase in web contact/reduction in telephone contact </w:t>
            </w:r>
          </w:p>
          <w:p w:rsidR="004E7A36" w:rsidRPr="004661BB" w:rsidRDefault="004E7A36" w:rsidP="00422E4F">
            <w:pPr>
              <w:autoSpaceDE w:val="0"/>
              <w:autoSpaceDN w:val="0"/>
              <w:adjustRightInd w:val="0"/>
              <w:spacing w:after="120"/>
              <w:rPr>
                <w:rFonts w:eastAsia="Calibri" w:cs="Arial"/>
                <w:color w:val="000000"/>
                <w:sz w:val="22"/>
                <w:szCs w:val="22"/>
              </w:rPr>
            </w:pPr>
          </w:p>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Increase in customer satisfaction  </w:t>
            </w:r>
          </w:p>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   </w:t>
            </w:r>
          </w:p>
        </w:tc>
        <w:tc>
          <w:tcPr>
            <w:tcW w:w="928" w:type="pct"/>
            <w:tcBorders>
              <w:top w:val="single" w:sz="4" w:space="0" w:color="auto"/>
            </w:tcBorders>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December 2017 </w:t>
            </w:r>
          </w:p>
        </w:tc>
        <w:tc>
          <w:tcPr>
            <w:tcW w:w="1237" w:type="pct"/>
            <w:tcBorders>
              <w:top w:val="single" w:sz="4" w:space="0" w:color="auto"/>
            </w:tcBorders>
          </w:tcPr>
          <w:p w:rsidR="004E7A36" w:rsidRPr="004661BB" w:rsidRDefault="001D26DE" w:rsidP="001D26DE">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Formal strategy will follow from the creation of LLPP. However, in the short term encouraging take up of on line facilities through ordinary communication channels means that ?% of members interact with the Fund electronically</w:t>
            </w:r>
          </w:p>
        </w:tc>
      </w:tr>
      <w:tr w:rsidR="00785CEE" w:rsidRPr="004661BB" w:rsidTr="00785CEE">
        <w:trPr>
          <w:trHeight w:val="1125"/>
        </w:trPr>
        <w:tc>
          <w:tcPr>
            <w:tcW w:w="875" w:type="pct"/>
          </w:tcPr>
          <w:p w:rsidR="00785CEE" w:rsidRDefault="00785CEE" w:rsidP="0079467F">
            <w:pPr>
              <w:autoSpaceDE w:val="0"/>
              <w:autoSpaceDN w:val="0"/>
              <w:adjustRightInd w:val="0"/>
              <w:spacing w:after="120"/>
              <w:jc w:val="center"/>
              <w:rPr>
                <w:rFonts w:eastAsia="Calibri" w:cs="Arial"/>
                <w:b/>
                <w:color w:val="000000"/>
                <w:sz w:val="22"/>
                <w:szCs w:val="22"/>
              </w:rPr>
            </w:pPr>
          </w:p>
          <w:p w:rsidR="00785CEE" w:rsidRPr="004661BB" w:rsidRDefault="00785CEE"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ACTION</w:t>
            </w:r>
          </w:p>
        </w:tc>
        <w:tc>
          <w:tcPr>
            <w:tcW w:w="980" w:type="pct"/>
          </w:tcPr>
          <w:p w:rsidR="00785CEE" w:rsidRPr="004661BB" w:rsidRDefault="00785CEE" w:rsidP="0079467F">
            <w:pPr>
              <w:autoSpaceDE w:val="0"/>
              <w:autoSpaceDN w:val="0"/>
              <w:adjustRightInd w:val="0"/>
              <w:spacing w:after="120"/>
              <w:contextualSpacing/>
              <w:rPr>
                <w:rFonts w:eastAsia="Calibri" w:cs="Arial"/>
                <w:b/>
                <w:color w:val="000000"/>
                <w:sz w:val="22"/>
                <w:szCs w:val="22"/>
              </w:rPr>
            </w:pPr>
          </w:p>
          <w:p w:rsidR="00785CEE" w:rsidRPr="004661BB" w:rsidRDefault="00785CEE" w:rsidP="0079467F">
            <w:pPr>
              <w:autoSpaceDE w:val="0"/>
              <w:autoSpaceDN w:val="0"/>
              <w:adjustRightInd w:val="0"/>
              <w:spacing w:after="120"/>
              <w:ind w:left="179"/>
              <w:contextualSpacing/>
              <w:rPr>
                <w:rFonts w:eastAsia="Calibri" w:cs="Arial"/>
                <w:b/>
                <w:color w:val="000000"/>
                <w:sz w:val="22"/>
                <w:szCs w:val="22"/>
              </w:rPr>
            </w:pPr>
            <w:r w:rsidRPr="004661BB">
              <w:rPr>
                <w:rFonts w:eastAsia="Calibri" w:cs="Arial"/>
                <w:b/>
                <w:color w:val="000000"/>
                <w:sz w:val="22"/>
                <w:szCs w:val="22"/>
              </w:rPr>
              <w:t>HOW WILL THIS BE ACHIEVED?</w:t>
            </w:r>
          </w:p>
        </w:tc>
        <w:tc>
          <w:tcPr>
            <w:tcW w:w="980" w:type="pct"/>
          </w:tcPr>
          <w:p w:rsidR="00785CEE" w:rsidRPr="004661BB" w:rsidRDefault="00785CEE" w:rsidP="0079467F">
            <w:pPr>
              <w:autoSpaceDE w:val="0"/>
              <w:autoSpaceDN w:val="0"/>
              <w:adjustRightInd w:val="0"/>
              <w:spacing w:after="120"/>
              <w:ind w:left="360"/>
              <w:contextualSpacing/>
              <w:jc w:val="center"/>
              <w:rPr>
                <w:rFonts w:eastAsia="Calibri" w:cs="Arial"/>
                <w:b/>
                <w:color w:val="000000"/>
                <w:sz w:val="22"/>
                <w:szCs w:val="22"/>
              </w:rPr>
            </w:pPr>
            <w:r w:rsidRPr="004661BB">
              <w:rPr>
                <w:rFonts w:eastAsia="Calibri" w:cs="Arial"/>
                <w:b/>
                <w:color w:val="000000"/>
                <w:sz w:val="22"/>
                <w:szCs w:val="22"/>
              </w:rPr>
              <w:t>HOW WILL SUCCESS BE MEASURED?</w:t>
            </w:r>
          </w:p>
        </w:tc>
        <w:tc>
          <w:tcPr>
            <w:tcW w:w="928" w:type="pct"/>
          </w:tcPr>
          <w:p w:rsidR="00785CEE" w:rsidRDefault="00785CEE" w:rsidP="0079467F">
            <w:pPr>
              <w:autoSpaceDE w:val="0"/>
              <w:autoSpaceDN w:val="0"/>
              <w:adjustRightInd w:val="0"/>
              <w:spacing w:after="120"/>
              <w:jc w:val="center"/>
              <w:rPr>
                <w:rFonts w:eastAsia="Calibri" w:cs="Arial"/>
                <w:b/>
                <w:color w:val="000000"/>
                <w:sz w:val="22"/>
                <w:szCs w:val="22"/>
              </w:rPr>
            </w:pPr>
          </w:p>
          <w:p w:rsidR="00785CEE" w:rsidRPr="004661BB" w:rsidRDefault="00785CEE"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TIMESCALE</w:t>
            </w:r>
          </w:p>
        </w:tc>
        <w:tc>
          <w:tcPr>
            <w:tcW w:w="1237" w:type="pct"/>
          </w:tcPr>
          <w:p w:rsidR="00785CEE" w:rsidRDefault="00785CEE" w:rsidP="0079467F">
            <w:pPr>
              <w:autoSpaceDE w:val="0"/>
              <w:autoSpaceDN w:val="0"/>
              <w:adjustRightInd w:val="0"/>
              <w:spacing w:after="120"/>
              <w:jc w:val="center"/>
              <w:rPr>
                <w:rFonts w:eastAsia="Calibri" w:cs="Arial"/>
                <w:b/>
                <w:color w:val="000000"/>
                <w:sz w:val="22"/>
                <w:szCs w:val="22"/>
              </w:rPr>
            </w:pPr>
          </w:p>
          <w:p w:rsidR="00785CEE" w:rsidRPr="004661BB" w:rsidRDefault="00785CEE" w:rsidP="0079467F">
            <w:pPr>
              <w:autoSpaceDE w:val="0"/>
              <w:autoSpaceDN w:val="0"/>
              <w:adjustRightInd w:val="0"/>
              <w:spacing w:after="120"/>
              <w:jc w:val="center"/>
              <w:rPr>
                <w:rFonts w:eastAsia="Calibri" w:cs="Arial"/>
                <w:b/>
                <w:color w:val="000000"/>
                <w:sz w:val="22"/>
                <w:szCs w:val="22"/>
              </w:rPr>
            </w:pPr>
            <w:r w:rsidRPr="004661BB">
              <w:rPr>
                <w:rFonts w:eastAsia="Calibri" w:cs="Arial"/>
                <w:b/>
                <w:color w:val="000000"/>
                <w:sz w:val="22"/>
                <w:szCs w:val="22"/>
              </w:rPr>
              <w:t>PROGRESS AT END SEPT 2015</w:t>
            </w:r>
          </w:p>
        </w:tc>
      </w:tr>
      <w:tr w:rsidR="004E7A36" w:rsidRPr="004661BB" w:rsidTr="00855A77">
        <w:tc>
          <w:tcPr>
            <w:tcW w:w="875"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Undertake systematic analysis of customer feedback</w:t>
            </w:r>
          </w:p>
        </w:tc>
        <w:tc>
          <w:tcPr>
            <w:tcW w:w="980"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Implement formal process for review of complaints and compliments </w:t>
            </w:r>
          </w:p>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Set targets for customer satisfaction and measure </w:t>
            </w:r>
          </w:p>
        </w:tc>
        <w:tc>
          <w:tcPr>
            <w:tcW w:w="980"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Year on year reduction in complaints/increase in  compliments</w:t>
            </w:r>
          </w:p>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Targets achieved   </w:t>
            </w:r>
          </w:p>
        </w:tc>
        <w:tc>
          <w:tcPr>
            <w:tcW w:w="928" w:type="pct"/>
          </w:tcPr>
          <w:p w:rsidR="004E7A36" w:rsidRPr="004661BB" w:rsidRDefault="004E7A36"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 xml:space="preserve">March 2017 </w:t>
            </w:r>
          </w:p>
        </w:tc>
        <w:tc>
          <w:tcPr>
            <w:tcW w:w="1237" w:type="pct"/>
          </w:tcPr>
          <w:p w:rsidR="004E7A36" w:rsidRPr="004661BB" w:rsidRDefault="001D26DE" w:rsidP="00422E4F">
            <w:pPr>
              <w:autoSpaceDE w:val="0"/>
              <w:autoSpaceDN w:val="0"/>
              <w:adjustRightInd w:val="0"/>
              <w:spacing w:after="120"/>
              <w:rPr>
                <w:rFonts w:eastAsia="Calibri" w:cs="Arial"/>
                <w:color w:val="000000"/>
                <w:sz w:val="22"/>
                <w:szCs w:val="22"/>
              </w:rPr>
            </w:pPr>
            <w:r w:rsidRPr="004661BB">
              <w:rPr>
                <w:rFonts w:eastAsia="Calibri" w:cs="Arial"/>
                <w:color w:val="000000"/>
                <w:sz w:val="22"/>
                <w:szCs w:val="22"/>
              </w:rPr>
              <w:t>Additional detail being reported to Local Pension Board and further work planned in response to their deliberations.</w:t>
            </w:r>
          </w:p>
        </w:tc>
      </w:tr>
    </w:tbl>
    <w:p w:rsidR="008165F7" w:rsidRDefault="008165F7">
      <w:pPr>
        <w:rPr>
          <w:rFonts w:ascii="Arial" w:hAnsi="Arial" w:cs="Arial"/>
        </w:rPr>
      </w:pPr>
    </w:p>
    <w:p w:rsidR="00785CEE" w:rsidRDefault="00785CEE">
      <w:pPr>
        <w:rPr>
          <w:rFonts w:ascii="Arial" w:hAnsi="Arial" w:cs="Arial"/>
        </w:rPr>
      </w:pPr>
    </w:p>
    <w:p w:rsidR="00785CEE" w:rsidRDefault="00785CEE">
      <w:pPr>
        <w:rPr>
          <w:rFonts w:ascii="Arial" w:hAnsi="Arial" w:cs="Arial"/>
        </w:rPr>
      </w:pPr>
    </w:p>
    <w:p w:rsidR="00785CEE" w:rsidRDefault="00785CEE">
      <w:pPr>
        <w:rPr>
          <w:rFonts w:ascii="Arial" w:hAnsi="Arial" w:cs="Arial"/>
        </w:rPr>
      </w:pPr>
    </w:p>
    <w:p w:rsidR="00785CEE" w:rsidRDefault="00785CEE">
      <w:pPr>
        <w:rPr>
          <w:rFonts w:ascii="Arial" w:hAnsi="Arial" w:cs="Arial"/>
        </w:rPr>
      </w:pPr>
    </w:p>
    <w:p w:rsidR="00785CEE" w:rsidRDefault="00785CEE">
      <w:pPr>
        <w:rPr>
          <w:rFonts w:ascii="Arial" w:hAnsi="Arial" w:cs="Arial"/>
        </w:rPr>
      </w:pPr>
    </w:p>
    <w:p w:rsidR="00785CEE" w:rsidRDefault="00785CEE">
      <w:pPr>
        <w:rPr>
          <w:rFonts w:ascii="Arial" w:hAnsi="Arial" w:cs="Arial"/>
        </w:rPr>
      </w:pPr>
    </w:p>
    <w:p w:rsidR="00785CEE" w:rsidRDefault="00785CEE" w:rsidP="00785CEE">
      <w:pPr>
        <w:spacing w:after="0" w:line="240" w:lineRule="auto"/>
        <w:rPr>
          <w:rFonts w:ascii="Arial" w:hAnsi="Arial" w:cs="Arial"/>
        </w:rPr>
      </w:pPr>
      <w:r>
        <w:rPr>
          <w:rFonts w:ascii="Arial" w:hAnsi="Arial" w:cs="Arial"/>
        </w:rPr>
        <w:t>LCPF/GG</w:t>
      </w:r>
    </w:p>
    <w:p w:rsidR="00785CEE" w:rsidRPr="004661BB" w:rsidRDefault="00785CEE" w:rsidP="00785CEE">
      <w:pPr>
        <w:spacing w:after="0" w:line="240" w:lineRule="auto"/>
        <w:rPr>
          <w:rFonts w:ascii="Arial" w:hAnsi="Arial" w:cs="Arial"/>
        </w:rPr>
      </w:pPr>
      <w:r>
        <w:rPr>
          <w:rFonts w:ascii="Arial" w:hAnsi="Arial" w:cs="Arial"/>
        </w:rPr>
        <w:t>November 201</w:t>
      </w:r>
      <w:r w:rsidR="00E13239">
        <w:rPr>
          <w:rFonts w:ascii="Arial" w:hAnsi="Arial" w:cs="Arial"/>
        </w:rPr>
        <w:t>5</w:t>
      </w:r>
      <w:bookmarkStart w:id="0" w:name="_GoBack"/>
      <w:bookmarkEnd w:id="0"/>
    </w:p>
    <w:sectPr w:rsidR="00785CEE" w:rsidRPr="004661BB" w:rsidSect="00E1323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AE" w:rsidRDefault="00E051AE" w:rsidP="00217258">
      <w:pPr>
        <w:spacing w:after="0" w:line="240" w:lineRule="auto"/>
      </w:pPr>
      <w:r>
        <w:separator/>
      </w:r>
    </w:p>
  </w:endnote>
  <w:endnote w:type="continuationSeparator" w:id="0">
    <w:p w:rsidR="00E051AE" w:rsidRDefault="00E051AE" w:rsidP="002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AE" w:rsidRDefault="00E051AE" w:rsidP="00217258">
      <w:pPr>
        <w:spacing w:after="0" w:line="240" w:lineRule="auto"/>
      </w:pPr>
      <w:r>
        <w:separator/>
      </w:r>
    </w:p>
  </w:footnote>
  <w:footnote w:type="continuationSeparator" w:id="0">
    <w:p w:rsidR="00E051AE" w:rsidRDefault="00E051AE" w:rsidP="0021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20" w:rsidRPr="00965320" w:rsidRDefault="00965320">
    <w:pPr>
      <w:pStyle w:val="Header"/>
      <w:rPr>
        <w:rFonts w:ascii="Arial" w:hAnsi="Arial" w:cs="Arial"/>
        <w:b/>
        <w:sz w:val="24"/>
        <w:szCs w:val="24"/>
      </w:rPr>
    </w:pPr>
    <w:r w:rsidRPr="00965320">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022"/>
    <w:multiLevelType w:val="hybridMultilevel"/>
    <w:tmpl w:val="938E2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376FC"/>
    <w:multiLevelType w:val="hybridMultilevel"/>
    <w:tmpl w:val="3D40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7827A8"/>
    <w:multiLevelType w:val="hybridMultilevel"/>
    <w:tmpl w:val="06CE62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529AE"/>
    <w:multiLevelType w:val="hybridMultilevel"/>
    <w:tmpl w:val="A7F02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4847CE"/>
    <w:multiLevelType w:val="hybridMultilevel"/>
    <w:tmpl w:val="412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443C6"/>
    <w:multiLevelType w:val="hybridMultilevel"/>
    <w:tmpl w:val="053C5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996964"/>
    <w:multiLevelType w:val="hybridMultilevel"/>
    <w:tmpl w:val="9B442A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4F"/>
    <w:rsid w:val="0002279D"/>
    <w:rsid w:val="000330C7"/>
    <w:rsid w:val="00066F05"/>
    <w:rsid w:val="00071510"/>
    <w:rsid w:val="000C59CC"/>
    <w:rsid w:val="001622B9"/>
    <w:rsid w:val="001D26DE"/>
    <w:rsid w:val="001D5169"/>
    <w:rsid w:val="00217258"/>
    <w:rsid w:val="002911A7"/>
    <w:rsid w:val="003605AF"/>
    <w:rsid w:val="00422E4F"/>
    <w:rsid w:val="00424371"/>
    <w:rsid w:val="004661BB"/>
    <w:rsid w:val="00471C0A"/>
    <w:rsid w:val="004E7A36"/>
    <w:rsid w:val="00571124"/>
    <w:rsid w:val="00677922"/>
    <w:rsid w:val="00785CEE"/>
    <w:rsid w:val="007A2747"/>
    <w:rsid w:val="008077B4"/>
    <w:rsid w:val="008165F7"/>
    <w:rsid w:val="00855A77"/>
    <w:rsid w:val="008E1AFD"/>
    <w:rsid w:val="00936716"/>
    <w:rsid w:val="009471E9"/>
    <w:rsid w:val="00965320"/>
    <w:rsid w:val="009818A3"/>
    <w:rsid w:val="009835A3"/>
    <w:rsid w:val="00A14493"/>
    <w:rsid w:val="00A31E4B"/>
    <w:rsid w:val="00A3532B"/>
    <w:rsid w:val="00B003E9"/>
    <w:rsid w:val="00BB062E"/>
    <w:rsid w:val="00CB4B29"/>
    <w:rsid w:val="00CD0FD6"/>
    <w:rsid w:val="00CD15D8"/>
    <w:rsid w:val="00CD2AF8"/>
    <w:rsid w:val="00D20F15"/>
    <w:rsid w:val="00D70F25"/>
    <w:rsid w:val="00D85E18"/>
    <w:rsid w:val="00E051AE"/>
    <w:rsid w:val="00E13239"/>
    <w:rsid w:val="00E71059"/>
    <w:rsid w:val="00E926C8"/>
    <w:rsid w:val="00EE7D61"/>
    <w:rsid w:val="00F025FB"/>
    <w:rsid w:val="00FB629D"/>
    <w:rsid w:val="00FF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1CD00-4139-462F-829F-A772DE98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E4F"/>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22E4F"/>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2E4F"/>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2E4F"/>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2E4F"/>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2E4F"/>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258"/>
  </w:style>
  <w:style w:type="paragraph" w:styleId="Footer">
    <w:name w:val="footer"/>
    <w:basedOn w:val="Normal"/>
    <w:link w:val="FooterChar"/>
    <w:uiPriority w:val="99"/>
    <w:unhideWhenUsed/>
    <w:rsid w:val="002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258"/>
  </w:style>
  <w:style w:type="paragraph" w:styleId="ListParagraph">
    <w:name w:val="List Paragraph"/>
    <w:basedOn w:val="Normal"/>
    <w:uiPriority w:val="34"/>
    <w:qFormat/>
    <w:rsid w:val="00D20F15"/>
    <w:pPr>
      <w:ind w:left="720"/>
      <w:contextualSpacing/>
    </w:pPr>
  </w:style>
  <w:style w:type="paragraph" w:styleId="BalloonText">
    <w:name w:val="Balloon Text"/>
    <w:basedOn w:val="Normal"/>
    <w:link w:val="BalloonTextChar"/>
    <w:uiPriority w:val="99"/>
    <w:semiHidden/>
    <w:unhideWhenUsed/>
    <w:rsid w:val="00785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1066">
      <w:bodyDiv w:val="1"/>
      <w:marLeft w:val="0"/>
      <w:marRight w:val="0"/>
      <w:marTop w:val="0"/>
      <w:marBottom w:val="0"/>
      <w:divBdr>
        <w:top w:val="none" w:sz="0" w:space="0" w:color="auto"/>
        <w:left w:val="none" w:sz="0" w:space="0" w:color="auto"/>
        <w:bottom w:val="none" w:sz="0" w:space="0" w:color="auto"/>
        <w:right w:val="none" w:sz="0" w:space="0" w:color="auto"/>
      </w:divBdr>
    </w:div>
    <w:div w:id="295644388">
      <w:bodyDiv w:val="1"/>
      <w:marLeft w:val="0"/>
      <w:marRight w:val="0"/>
      <w:marTop w:val="0"/>
      <w:marBottom w:val="0"/>
      <w:divBdr>
        <w:top w:val="none" w:sz="0" w:space="0" w:color="auto"/>
        <w:left w:val="none" w:sz="0" w:space="0" w:color="auto"/>
        <w:bottom w:val="none" w:sz="0" w:space="0" w:color="auto"/>
        <w:right w:val="none" w:sz="0" w:space="0" w:color="auto"/>
      </w:divBdr>
    </w:div>
    <w:div w:id="6285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2FDD-2990-49FE-A895-BB9F2F36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George</dc:creator>
  <cp:lastModifiedBy>Gorman, Dave</cp:lastModifiedBy>
  <cp:revision>4</cp:revision>
  <cp:lastPrinted>2015-11-12T16:08:00Z</cp:lastPrinted>
  <dcterms:created xsi:type="dcterms:W3CDTF">2015-11-13T15:42:00Z</dcterms:created>
  <dcterms:modified xsi:type="dcterms:W3CDTF">2015-11-13T16:00:00Z</dcterms:modified>
</cp:coreProperties>
</file>